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宋体" w:hAnsi="宋体" w:cs="宋体"/>
          <w:b/>
          <w:bCs/>
          <w:kern w:val="0"/>
          <w:sz w:val="32"/>
          <w:szCs w:val="32"/>
          <w:lang w:val="en-US" w:eastAsia="zh-CN"/>
        </w:rPr>
      </w:pPr>
      <w:r>
        <w:rPr>
          <w:rFonts w:hint="eastAsia" w:ascii="宋体" w:hAnsi="宋体" w:cs="宋体"/>
          <w:b/>
          <w:bCs/>
          <w:kern w:val="0"/>
          <w:sz w:val="32"/>
          <w:szCs w:val="32"/>
        </w:rPr>
        <w:t>吉安市中心人民医院</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上海市东方医院吉安医院）</w:t>
      </w:r>
    </w:p>
    <w:p>
      <w:pPr>
        <w:widowControl/>
        <w:adjustRightInd w:val="0"/>
        <w:jc w:val="center"/>
        <w:rPr>
          <w:rFonts w:ascii="宋体" w:hAnsi="宋体" w:cs="宋体"/>
          <w:b/>
          <w:bCs/>
          <w:kern w:val="0"/>
          <w:sz w:val="24"/>
          <w:szCs w:val="24"/>
        </w:rPr>
      </w:pPr>
      <w:r>
        <w:rPr>
          <w:rFonts w:hint="eastAsia" w:ascii="宋体" w:hAnsi="宋体" w:cs="宋体"/>
          <w:b/>
          <w:bCs/>
          <w:kern w:val="0"/>
          <w:sz w:val="32"/>
          <w:szCs w:val="32"/>
        </w:rPr>
        <w:t>医用耗材意向招标公告</w:t>
      </w:r>
    </w:p>
    <w:p>
      <w:pPr>
        <w:widowControl/>
        <w:adjustRightInd w:val="0"/>
        <w:ind w:firstLine="480" w:firstLineChars="200"/>
        <w:rPr>
          <w:rFonts w:ascii="宋体" w:hAnsi="宋体" w:cs="宋体"/>
          <w:kern w:val="0"/>
          <w:sz w:val="24"/>
          <w:szCs w:val="24"/>
        </w:rPr>
      </w:pPr>
      <w:r>
        <w:rPr>
          <w:rFonts w:hint="eastAsia" w:ascii="宋体" w:hAnsi="宋体" w:cs="宋体"/>
          <w:kern w:val="0"/>
          <w:sz w:val="24"/>
          <w:szCs w:val="24"/>
        </w:rPr>
        <w:t>依据我院临床医疗需要，拟对下列医用耗材进行院内</w:t>
      </w:r>
      <w:r>
        <w:rPr>
          <w:rFonts w:hint="eastAsia" w:ascii="宋体" w:hAnsi="宋体" w:cs="宋体"/>
          <w:bCs/>
          <w:kern w:val="0"/>
          <w:sz w:val="24"/>
          <w:szCs w:val="24"/>
        </w:rPr>
        <w:t>招标采购，请有意参加本单位招标的生产商或供应商携带相关证件到</w:t>
      </w:r>
      <w:r>
        <w:rPr>
          <w:rFonts w:hint="eastAsia" w:ascii="宋体" w:hAnsi="宋体" w:cs="宋体"/>
          <w:bCs/>
          <w:kern w:val="0"/>
          <w:sz w:val="24"/>
          <w:szCs w:val="24"/>
          <w:lang w:val="en-US" w:eastAsia="zh-CN"/>
        </w:rPr>
        <w:t>医学装备</w:t>
      </w:r>
      <w:r>
        <w:rPr>
          <w:rFonts w:hint="eastAsia" w:ascii="宋体" w:hAnsi="宋体" w:cs="宋体"/>
          <w:bCs/>
          <w:kern w:val="0"/>
          <w:sz w:val="24"/>
          <w:szCs w:val="24"/>
        </w:rPr>
        <w:t>科报名。</w:t>
      </w:r>
    </w:p>
    <w:p>
      <w:pPr>
        <w:widowControl/>
        <w:numPr>
          <w:ilvl w:val="0"/>
          <w:numId w:val="1"/>
        </w:numPr>
        <w:adjustRightInd w:val="0"/>
        <w:rPr>
          <w:rFonts w:hint="eastAsia" w:ascii="宋体" w:hAnsi="宋体" w:cs="宋体"/>
          <w:b/>
          <w:kern w:val="0"/>
          <w:sz w:val="24"/>
          <w:szCs w:val="24"/>
        </w:rPr>
      </w:pPr>
      <w:r>
        <w:rPr>
          <w:rFonts w:hint="eastAsia" w:ascii="宋体" w:hAnsi="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998"/>
        <w:gridCol w:w="2616"/>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重症医学科</w:t>
            </w:r>
            <w:r>
              <w:rPr>
                <w:rFonts w:hint="eastAsia" w:ascii="宋体" w:hAnsi="宋体" w:eastAsia="宋体" w:cs="宋体"/>
                <w:i w:val="0"/>
                <w:iCs w:val="0"/>
                <w:color w:val="000000"/>
                <w:kern w:val="0"/>
                <w:sz w:val="22"/>
                <w:szCs w:val="22"/>
                <w:u w:val="none"/>
                <w:lang w:val="en-US" w:eastAsia="zh-CN" w:bidi="ar"/>
              </w:rPr>
              <w:t>（南院区）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压力测量传感器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适用于重症医学科心输出量测量仪(德国PULSIONPV8810)一同使用，用于通过桡动脉监测病人心输出量。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重症医学科</w:t>
            </w:r>
            <w:r>
              <w:rPr>
                <w:rFonts w:hint="eastAsia" w:ascii="宋体" w:hAnsi="宋体" w:eastAsia="宋体" w:cs="宋体"/>
                <w:i w:val="0"/>
                <w:iCs w:val="0"/>
                <w:color w:val="000000"/>
                <w:kern w:val="0"/>
                <w:sz w:val="22"/>
                <w:szCs w:val="22"/>
                <w:u w:val="none"/>
                <w:lang w:val="en-US" w:eastAsia="zh-CN" w:bidi="ar"/>
              </w:rPr>
              <w:t>（南院区）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热稀释导管包及压力监测套装</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适用于重症医学科心输出量测量仪(德国PULSION PV2014L16-A、PV8215)一同使用，用于连续监测心输出量。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重症医学科</w:t>
            </w:r>
            <w:r>
              <w:rPr>
                <w:rFonts w:hint="eastAsia" w:ascii="宋体" w:hAnsi="宋体" w:eastAsia="宋体" w:cs="宋体"/>
                <w:i w:val="0"/>
                <w:iCs w:val="0"/>
                <w:color w:val="000000"/>
                <w:kern w:val="0"/>
                <w:sz w:val="22"/>
                <w:szCs w:val="22"/>
                <w:u w:val="none"/>
                <w:lang w:val="en-US" w:eastAsia="zh-CN" w:bidi="ar"/>
              </w:rPr>
              <w:t>（南院区）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血浆分离器及管路套包</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适用于重症医学科贝朗OMNI血液净化设备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OMNlplasmafilter 0.7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使用，用于进行性血浆置换治疗的一次性使用耗材。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重症医学科</w:t>
            </w:r>
            <w:r>
              <w:rPr>
                <w:rFonts w:hint="eastAsia" w:ascii="宋体" w:hAnsi="宋体" w:eastAsia="宋体" w:cs="宋体"/>
                <w:i w:val="0"/>
                <w:iCs w:val="0"/>
                <w:color w:val="000000"/>
                <w:kern w:val="0"/>
                <w:sz w:val="22"/>
                <w:szCs w:val="22"/>
                <w:u w:val="none"/>
                <w:lang w:val="en-US" w:eastAsia="zh-CN" w:bidi="ar"/>
              </w:rPr>
              <w:t>（南院区）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血浆分离器及管路套包</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适用于重症医学科金宝血液净化设备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PrismaflexTPE2000 set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使用，用于进行性血浆置换治疗的一次性使用耗材。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重症医学科</w:t>
            </w:r>
            <w:r>
              <w:rPr>
                <w:rFonts w:hint="eastAsia" w:ascii="宋体" w:hAnsi="宋体" w:eastAsia="宋体" w:cs="宋体"/>
                <w:i w:val="0"/>
                <w:iCs w:val="0"/>
                <w:color w:val="000000"/>
                <w:kern w:val="0"/>
                <w:sz w:val="22"/>
                <w:szCs w:val="22"/>
                <w:u w:val="none"/>
                <w:lang w:val="en-US" w:eastAsia="zh-CN" w:bidi="ar"/>
              </w:rPr>
              <w:t>（南院区）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一次性使用血流透析滤过器及配套管路</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适用于重症医学科金宝血液净化设备</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PrismaflexST100 SET</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 PrismaflexST150 SET</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使用，用于进行血液净化治疗的一次性使用耗材。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感染性疾病科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一次性使用血液灌流器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适用于人工肝</w:t>
            </w:r>
            <w:r>
              <w:rPr>
                <w:rFonts w:hint="eastAsia" w:ascii="宋体" w:hAnsi="宋体" w:cs="宋体"/>
                <w:i w:val="0"/>
                <w:iCs w:val="0"/>
                <w:color w:val="000000"/>
                <w:sz w:val="24"/>
                <w:szCs w:val="24"/>
                <w:u w:val="none"/>
                <w:lang w:val="en-US" w:eastAsia="zh-CN"/>
              </w:rPr>
              <w:t>设备（</w:t>
            </w:r>
            <w:r>
              <w:rPr>
                <w:rFonts w:hint="eastAsia" w:ascii="宋体" w:hAnsi="宋体" w:eastAsia="宋体" w:cs="宋体"/>
                <w:i w:val="0"/>
                <w:iCs w:val="0"/>
                <w:color w:val="000000"/>
                <w:sz w:val="24"/>
                <w:szCs w:val="24"/>
                <w:u w:val="none"/>
              </w:rPr>
              <w:t>珠海健帆DX-10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，用于慢性肝衰竭、慢加亚急性肝衰竭、急性肝衰竭的治疗，</w:t>
            </w:r>
            <w:r>
              <w:rPr>
                <w:rFonts w:hint="eastAsia" w:ascii="宋体" w:hAnsi="宋体" w:cs="宋体"/>
                <w:i w:val="0"/>
                <w:iCs w:val="0"/>
                <w:color w:val="000000"/>
                <w:sz w:val="24"/>
                <w:szCs w:val="24"/>
                <w:u w:val="none"/>
                <w:lang w:val="en-US" w:eastAsia="zh-CN"/>
              </w:rPr>
              <w:t>进行</w:t>
            </w:r>
            <w:r>
              <w:rPr>
                <w:rFonts w:hint="eastAsia" w:ascii="宋体" w:hAnsi="宋体" w:eastAsia="宋体" w:cs="宋体"/>
                <w:i w:val="0"/>
                <w:iCs w:val="0"/>
                <w:color w:val="000000"/>
                <w:sz w:val="24"/>
                <w:szCs w:val="24"/>
                <w:u w:val="none"/>
              </w:rPr>
              <w:t>血浆置换、胆红素吸附+血浆置换、双重血浆分子吸附+血浆置换</w:t>
            </w:r>
            <w:r>
              <w:rPr>
                <w:rFonts w:hint="eastAsia" w:ascii="宋体" w:hAnsi="宋体" w:cs="宋体"/>
                <w:i w:val="0"/>
                <w:iCs w:val="0"/>
                <w:color w:val="000000"/>
                <w:sz w:val="24"/>
                <w:szCs w:val="24"/>
                <w:u w:val="none"/>
                <w:lang w:val="en-US" w:eastAsia="zh-CN"/>
              </w:rPr>
              <w:t>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感染性疾病科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膜型血浆成分分离器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rPr>
              <w:t>适用于人工肝</w:t>
            </w:r>
            <w:r>
              <w:rPr>
                <w:rFonts w:hint="eastAsia" w:ascii="宋体" w:hAnsi="宋体" w:cs="宋体"/>
                <w:i w:val="0"/>
                <w:iCs w:val="0"/>
                <w:color w:val="000000"/>
                <w:sz w:val="24"/>
                <w:szCs w:val="24"/>
                <w:u w:val="none"/>
                <w:lang w:val="en-US" w:eastAsia="zh-CN"/>
              </w:rPr>
              <w:t>设备（</w:t>
            </w:r>
            <w:r>
              <w:rPr>
                <w:rFonts w:hint="eastAsia" w:ascii="宋体" w:hAnsi="宋体" w:eastAsia="宋体" w:cs="宋体"/>
                <w:i w:val="0"/>
                <w:iCs w:val="0"/>
                <w:color w:val="000000"/>
                <w:sz w:val="24"/>
                <w:szCs w:val="24"/>
                <w:u w:val="none"/>
              </w:rPr>
              <w:t>珠海健帆DX-10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，用于慢性肝衰竭、慢加亚急性肝衰竭、急性肝衰竭的治疗，</w:t>
            </w:r>
            <w:r>
              <w:rPr>
                <w:rFonts w:hint="eastAsia" w:ascii="宋体" w:hAnsi="宋体" w:cs="宋体"/>
                <w:i w:val="0"/>
                <w:iCs w:val="0"/>
                <w:color w:val="000000"/>
                <w:sz w:val="24"/>
                <w:szCs w:val="24"/>
                <w:u w:val="none"/>
                <w:lang w:val="en-US" w:eastAsia="zh-CN"/>
              </w:rPr>
              <w:t>进行</w:t>
            </w:r>
            <w:r>
              <w:rPr>
                <w:rFonts w:hint="eastAsia" w:ascii="宋体" w:hAnsi="宋体" w:eastAsia="宋体" w:cs="宋体"/>
                <w:i w:val="0"/>
                <w:iCs w:val="0"/>
                <w:color w:val="000000"/>
                <w:sz w:val="24"/>
                <w:szCs w:val="24"/>
                <w:u w:val="none"/>
              </w:rPr>
              <w:t>血浆置换、胆红素吸附+血浆置换、双重血浆分子吸附+血浆置换</w:t>
            </w:r>
            <w:r>
              <w:rPr>
                <w:rFonts w:hint="eastAsia" w:ascii="宋体" w:hAnsi="宋体" w:cs="宋体"/>
                <w:i w:val="0"/>
                <w:iCs w:val="0"/>
                <w:color w:val="000000"/>
                <w:sz w:val="24"/>
                <w:szCs w:val="24"/>
                <w:u w:val="none"/>
                <w:lang w:val="en-US" w:eastAsia="zh-CN"/>
              </w:rPr>
              <w:t>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rPr>
              <w:t>感染性疾病科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一次性使用血浆胆红素吸附柱</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适用于人工肝</w:t>
            </w:r>
            <w:r>
              <w:rPr>
                <w:rFonts w:hint="eastAsia" w:ascii="宋体" w:hAnsi="宋体" w:cs="宋体"/>
                <w:i w:val="0"/>
                <w:iCs w:val="0"/>
                <w:color w:val="000000"/>
                <w:sz w:val="24"/>
                <w:szCs w:val="24"/>
                <w:u w:val="none"/>
                <w:lang w:val="en-US" w:eastAsia="zh-CN"/>
              </w:rPr>
              <w:t>设备（</w:t>
            </w:r>
            <w:r>
              <w:rPr>
                <w:rFonts w:hint="eastAsia" w:ascii="宋体" w:hAnsi="宋体" w:eastAsia="宋体" w:cs="宋体"/>
                <w:i w:val="0"/>
                <w:iCs w:val="0"/>
                <w:color w:val="000000"/>
                <w:sz w:val="24"/>
                <w:szCs w:val="24"/>
                <w:u w:val="none"/>
              </w:rPr>
              <w:t>珠海健帆DX-10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，用于慢性肝衰竭、慢加亚急性肝衰竭、急性肝衰竭的治疗，</w:t>
            </w:r>
            <w:r>
              <w:rPr>
                <w:rFonts w:hint="eastAsia" w:ascii="宋体" w:hAnsi="宋体" w:cs="宋体"/>
                <w:i w:val="0"/>
                <w:iCs w:val="0"/>
                <w:color w:val="000000"/>
                <w:sz w:val="24"/>
                <w:szCs w:val="24"/>
                <w:u w:val="none"/>
                <w:lang w:val="en-US" w:eastAsia="zh-CN"/>
              </w:rPr>
              <w:t>进行</w:t>
            </w:r>
            <w:r>
              <w:rPr>
                <w:rFonts w:hint="eastAsia" w:ascii="宋体" w:hAnsi="宋体" w:eastAsia="宋体" w:cs="宋体"/>
                <w:i w:val="0"/>
                <w:iCs w:val="0"/>
                <w:color w:val="000000"/>
                <w:sz w:val="24"/>
                <w:szCs w:val="24"/>
                <w:u w:val="none"/>
              </w:rPr>
              <w:t>血浆置换、胆红素吸附+血浆置换、双重血浆分子吸附+血浆置换</w:t>
            </w:r>
            <w:r>
              <w:rPr>
                <w:rFonts w:hint="eastAsia" w:ascii="宋体" w:hAnsi="宋体" w:cs="宋体"/>
                <w:i w:val="0"/>
                <w:iCs w:val="0"/>
                <w:color w:val="000000"/>
                <w:sz w:val="24"/>
                <w:szCs w:val="24"/>
                <w:u w:val="none"/>
                <w:lang w:val="en-US" w:eastAsia="zh-CN"/>
              </w:rPr>
              <w:t>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rPr>
              <w:t>感染性疾病科</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一次性使用血液回路导管</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适用于人工肝</w:t>
            </w:r>
            <w:r>
              <w:rPr>
                <w:rFonts w:hint="eastAsia" w:ascii="宋体" w:hAnsi="宋体" w:cs="宋体"/>
                <w:i w:val="0"/>
                <w:iCs w:val="0"/>
                <w:color w:val="000000"/>
                <w:sz w:val="24"/>
                <w:szCs w:val="24"/>
                <w:u w:val="none"/>
                <w:lang w:val="en-US" w:eastAsia="zh-CN"/>
              </w:rPr>
              <w:t>设备（</w:t>
            </w:r>
            <w:r>
              <w:rPr>
                <w:rFonts w:hint="eastAsia" w:ascii="宋体" w:hAnsi="宋体" w:eastAsia="宋体" w:cs="宋体"/>
                <w:i w:val="0"/>
                <w:iCs w:val="0"/>
                <w:color w:val="000000"/>
                <w:sz w:val="24"/>
                <w:szCs w:val="24"/>
                <w:u w:val="none"/>
              </w:rPr>
              <w:t>珠海健帆DX-10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，用于慢性肝衰竭、慢加亚急性肝衰竭、急性肝衰竭的治疗，</w:t>
            </w:r>
            <w:r>
              <w:rPr>
                <w:rFonts w:hint="eastAsia" w:ascii="宋体" w:hAnsi="宋体" w:cs="宋体"/>
                <w:i w:val="0"/>
                <w:iCs w:val="0"/>
                <w:color w:val="000000"/>
                <w:sz w:val="24"/>
                <w:szCs w:val="24"/>
                <w:u w:val="none"/>
                <w:lang w:val="en-US" w:eastAsia="zh-CN"/>
              </w:rPr>
              <w:t>进行</w:t>
            </w:r>
            <w:r>
              <w:rPr>
                <w:rFonts w:hint="eastAsia" w:ascii="宋体" w:hAnsi="宋体" w:eastAsia="宋体" w:cs="宋体"/>
                <w:i w:val="0"/>
                <w:iCs w:val="0"/>
                <w:color w:val="000000"/>
                <w:sz w:val="24"/>
                <w:szCs w:val="24"/>
                <w:u w:val="none"/>
              </w:rPr>
              <w:t>血浆置换、胆红素吸附+血浆置换、双重血浆分子吸附+血浆置换</w:t>
            </w:r>
            <w:r>
              <w:rPr>
                <w:rFonts w:hint="eastAsia" w:ascii="宋体" w:hAnsi="宋体" w:cs="宋体"/>
                <w:i w:val="0"/>
                <w:iCs w:val="0"/>
                <w:color w:val="000000"/>
                <w:sz w:val="24"/>
                <w:szCs w:val="24"/>
                <w:u w:val="none"/>
                <w:lang w:val="en-US" w:eastAsia="zh-CN"/>
              </w:rPr>
              <w:t>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输血科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Rh血型抗原检测卡（微柱凝胶法）</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1.该产品检测原理采用的是微柱凝胶法;</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2.该产品用于Rh 血型系统C、c、D、E、e或C、c、E、e 抗原检测，不用于血源筛查，仅用于临床检测;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3.该产品规格:6孔/卡(含抗 C、抗 c、抗 D、抗 E、抗 e、质控各1孔);</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4.该产品在国内有多家综合性三甲医院用户;</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5.该产品可以在室温下保存。</w:t>
            </w:r>
          </w:p>
        </w:tc>
      </w:tr>
    </w:tbl>
    <w:p>
      <w:pPr>
        <w:widowControl/>
        <w:numPr>
          <w:ilvl w:val="0"/>
          <w:numId w:val="0"/>
        </w:numPr>
        <w:adjustRightInd w:val="0"/>
        <w:rPr>
          <w:rFonts w:hint="default" w:ascii="宋体" w:hAnsi="宋体" w:cs="宋体"/>
          <w:b/>
          <w:kern w:val="0"/>
          <w:sz w:val="24"/>
          <w:szCs w:val="24"/>
          <w:lang w:val="en-US" w:eastAsia="zh-CN"/>
        </w:rPr>
      </w:pP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报名要求：</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(1)严格按照要求填写附表一、附表二，不符合要求视为无效。</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(2)所投产品须持有医疗器械注册证（注册证号在附表一中必须填写），特殊产品除外。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（3）所投产品必须在最新的医保报销范围之内（同类产品都不能报销的除外）。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（4）所投产品一年内在</w:t>
      </w:r>
      <w:r>
        <w:rPr>
          <w:rFonts w:hint="eastAsia" w:ascii="宋体" w:hAnsi="宋体" w:cs="宋体"/>
          <w:kern w:val="0"/>
          <w:sz w:val="24"/>
          <w:szCs w:val="24"/>
          <w:lang w:val="en-US" w:eastAsia="zh-CN"/>
        </w:rPr>
        <w:t>省卫健委直属三甲医院</w:t>
      </w:r>
      <w:r>
        <w:rPr>
          <w:rFonts w:hint="eastAsia" w:ascii="宋体" w:hAnsi="宋体" w:cs="宋体"/>
          <w:kern w:val="0"/>
          <w:sz w:val="24"/>
          <w:szCs w:val="24"/>
        </w:rPr>
        <w:t>使用过（专机耗材除外），并且保证所投产品价格为同时期内全省最低价。</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（5）所投产品必须在江西省医保公共服务平台下的药品和医用耗材招采管理系统中的挂网范围内（同类产品未招标的除外）。</w:t>
      </w: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报名时需提供的相关材料：</w:t>
      </w:r>
    </w:p>
    <w:p>
      <w:pPr>
        <w:widowControl/>
        <w:tabs>
          <w:tab w:val="left" w:pos="426"/>
        </w:tabs>
        <w:adjustRightInd w:val="0"/>
        <w:rPr>
          <w:rFonts w:asciiTheme="minorEastAsia" w:hAnsiTheme="minorEastAsia" w:eastAsiaTheme="minorEastAsia" w:cstheme="minorEastAsia"/>
          <w:sz w:val="24"/>
          <w:szCs w:val="24"/>
        </w:rPr>
      </w:pPr>
      <w:r>
        <w:rPr>
          <w:rFonts w:hint="eastAsia" w:ascii="宋体" w:hAnsi="宋体" w:cs="宋体"/>
          <w:b/>
          <w:kern w:val="0"/>
          <w:sz w:val="24"/>
          <w:szCs w:val="24"/>
        </w:rPr>
        <w:t xml:space="preserve">   </w:t>
      </w:r>
      <w:r>
        <w:rPr>
          <w:rFonts w:hint="eastAsia" w:asciiTheme="minorEastAsia" w:hAnsiTheme="minorEastAsia" w:eastAsiaTheme="minorEastAsia" w:cstheme="minorEastAsia"/>
          <w:sz w:val="24"/>
          <w:szCs w:val="24"/>
        </w:rPr>
        <w:t>1、公司及产品的资质证明材料（公司三证等）。</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2、议价</w:t>
      </w:r>
      <w:r>
        <w:rPr>
          <w:rFonts w:hint="eastAsia" w:asciiTheme="minorEastAsia" w:hAnsiTheme="minorEastAsia" w:eastAsiaTheme="minorEastAsia" w:cstheme="minorEastAsia"/>
          <w:sz w:val="24"/>
          <w:szCs w:val="24"/>
        </w:rPr>
        <w:t>产品的制造商或者区域总代理商出具的授权函。</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3、法定代表人证书或委托代理人授权书。</w:t>
      </w:r>
    </w:p>
    <w:p>
      <w:pPr>
        <w:adjustRightInd w:val="0"/>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4、附件表一（另增加电子版发到下方的邮箱），附表二</w:t>
      </w:r>
    </w:p>
    <w:p>
      <w:pPr>
        <w:adjustRightInd w:val="0"/>
        <w:ind w:left="420" w:leftChars="200"/>
        <w:rPr>
          <w:rFonts w:ascii="宋体" w:hAnsi="宋体" w:cs="宋体"/>
          <w:kern w:val="0"/>
          <w:sz w:val="24"/>
          <w:szCs w:val="24"/>
        </w:rPr>
      </w:pPr>
      <w:r>
        <w:rPr>
          <w:rFonts w:hint="eastAsia" w:asciiTheme="minorEastAsia" w:hAnsiTheme="minorEastAsia" w:cstheme="minorEastAsia"/>
          <w:sz w:val="24"/>
          <w:szCs w:val="24"/>
        </w:rPr>
        <w:t>5、</w:t>
      </w:r>
      <w:r>
        <w:rPr>
          <w:rFonts w:hint="eastAsia" w:ascii="宋体" w:hAnsi="宋体" w:cs="宋体"/>
          <w:kern w:val="0"/>
          <w:sz w:val="24"/>
          <w:szCs w:val="24"/>
        </w:rPr>
        <w:t>所投产品一年内的江西省三甲医院的使用依据。</w:t>
      </w:r>
    </w:p>
    <w:p>
      <w:pPr>
        <w:adjustRightInd w:val="0"/>
        <w:ind w:left="420" w:leftChars="200"/>
        <w:rPr>
          <w:rFonts w:ascii="宋体" w:hAnsi="宋体" w:cs="宋体"/>
          <w:b/>
          <w:kern w:val="0"/>
          <w:sz w:val="24"/>
          <w:szCs w:val="24"/>
        </w:rPr>
      </w:pPr>
      <w:r>
        <w:rPr>
          <w:rFonts w:hint="eastAsia" w:asciiTheme="minorEastAsia" w:hAnsiTheme="minorEastAsia" w:cstheme="minorEastAsia"/>
          <w:sz w:val="24"/>
          <w:szCs w:val="24"/>
        </w:rPr>
        <w:t>6、</w:t>
      </w:r>
      <w:r>
        <w:rPr>
          <w:rFonts w:hint="eastAsia"/>
          <w:sz w:val="24"/>
          <w:szCs w:val="24"/>
        </w:rPr>
        <w:t>国家医用耗材27位编码，江西省医保报销类别。</w:t>
      </w:r>
    </w:p>
    <w:p>
      <w:pPr>
        <w:adjustRightInd w:val="0"/>
        <w:ind w:firstLine="480" w:firstLineChars="200"/>
        <w:rPr>
          <w:rFonts w:hint="eastAsia" w:ascii="宋体" w:hAnsi="宋体" w:eastAsia="宋体" w:cs="宋体"/>
          <w:kern w:val="0"/>
          <w:sz w:val="24"/>
          <w:szCs w:val="24"/>
          <w:lang w:eastAsia="zh-CN"/>
        </w:rPr>
      </w:pPr>
      <w:r>
        <w:rPr>
          <w:rFonts w:hint="eastAsia" w:asciiTheme="minorEastAsia" w:hAnsiTheme="minorEastAsia" w:cstheme="minorEastAsia"/>
          <w:sz w:val="24"/>
          <w:szCs w:val="24"/>
        </w:rPr>
        <w:t>7、价格承诺函、</w:t>
      </w:r>
      <w:r>
        <w:rPr>
          <w:rFonts w:hint="eastAsia" w:ascii="宋体" w:hAnsi="宋体" w:cs="宋体"/>
          <w:kern w:val="0"/>
          <w:sz w:val="24"/>
          <w:szCs w:val="24"/>
        </w:rPr>
        <w:t>价格佐证</w:t>
      </w:r>
      <w:r>
        <w:rPr>
          <w:rFonts w:hint="eastAsia" w:ascii="宋体" w:hAnsi="宋体" w:cs="宋体"/>
          <w:kern w:val="0"/>
          <w:sz w:val="24"/>
          <w:szCs w:val="24"/>
          <w:lang w:eastAsia="zh-CN"/>
        </w:rPr>
        <w:t>。</w:t>
      </w:r>
    </w:p>
    <w:p>
      <w:pPr>
        <w:adjustRightInd w:val="0"/>
        <w:ind w:firstLine="480" w:firstLineChars="200"/>
        <w:rPr>
          <w:rFonts w:ascii="宋体" w:hAnsi="宋体" w:cs="宋体"/>
          <w:b/>
          <w:kern w:val="0"/>
          <w:sz w:val="24"/>
          <w:szCs w:val="24"/>
        </w:rPr>
      </w:pPr>
      <w:r>
        <w:rPr>
          <w:rFonts w:hint="eastAsia" w:ascii="宋体" w:hAnsi="宋体" w:cs="宋体"/>
          <w:kern w:val="0"/>
          <w:sz w:val="24"/>
          <w:szCs w:val="24"/>
        </w:rPr>
        <w:t>8、所投产品需带样品</w:t>
      </w:r>
      <w:r>
        <w:rPr>
          <w:rFonts w:hint="eastAsia" w:ascii="宋体" w:hAnsi="宋体" w:cs="宋体"/>
          <w:kern w:val="0"/>
          <w:sz w:val="24"/>
          <w:szCs w:val="24"/>
          <w:lang w:val="en-US" w:eastAsia="zh-CN"/>
        </w:rPr>
        <w:t>现场展示说明</w:t>
      </w:r>
      <w:r>
        <w:rPr>
          <w:rFonts w:hint="eastAsia" w:ascii="宋体" w:hAnsi="宋体" w:cs="宋体"/>
          <w:kern w:val="0"/>
          <w:sz w:val="24"/>
          <w:szCs w:val="24"/>
        </w:rPr>
        <w:t>。</w:t>
      </w:r>
    </w:p>
    <w:p>
      <w:pPr>
        <w:adjustRightInd w:val="0"/>
        <w:ind w:left="240" w:hanging="240" w:hangingChars="100"/>
        <w:rPr>
          <w:rFonts w:ascii="宋体" w:hAnsi="宋体" w:cs="宋体"/>
          <w:sz w:val="24"/>
          <w:szCs w:val="24"/>
        </w:rPr>
      </w:pPr>
      <w:r>
        <w:rPr>
          <w:rFonts w:hint="eastAsia" w:asciiTheme="minorEastAsia" w:hAnsiTheme="minorEastAsia" w:cstheme="minorEastAsia"/>
          <w:sz w:val="24"/>
          <w:szCs w:val="24"/>
        </w:rPr>
        <w:t>注：以上材料一式</w:t>
      </w:r>
      <w:r>
        <w:rPr>
          <w:rFonts w:hint="eastAsia" w:asciiTheme="minorEastAsia" w:hAnsiTheme="minorEastAsia" w:cstheme="minorEastAsia"/>
          <w:sz w:val="24"/>
          <w:szCs w:val="24"/>
          <w:lang w:val="en-US" w:eastAsia="zh-CN"/>
        </w:rPr>
        <w:t>三</w:t>
      </w:r>
      <w:r>
        <w:rPr>
          <w:rFonts w:hint="eastAsia" w:asciiTheme="minorEastAsia" w:hAnsiTheme="minorEastAsia" w:cstheme="minorEastAsia"/>
          <w:sz w:val="24"/>
          <w:szCs w:val="24"/>
        </w:rPr>
        <w:t>份并加盖公章，</w:t>
      </w:r>
      <w:r>
        <w:rPr>
          <w:rFonts w:hint="eastAsia" w:ascii="宋体" w:hAnsi="宋体" w:cs="宋体"/>
          <w:sz w:val="24"/>
          <w:szCs w:val="24"/>
        </w:rPr>
        <w:t>对提供材料不真实者予以取消中标资格。</w:t>
      </w:r>
    </w:p>
    <w:p>
      <w:pPr>
        <w:tabs>
          <w:tab w:val="left" w:pos="229"/>
        </w:tabs>
        <w:adjustRightInd w:val="0"/>
        <w:ind w:firstLine="241" w:firstLineChars="100"/>
        <w:rPr>
          <w:rFonts w:ascii="宋体" w:hAnsi="宋体" w:cs="宋体"/>
          <w:b/>
          <w:color w:val="FF0000"/>
          <w:kern w:val="0"/>
          <w:sz w:val="24"/>
          <w:szCs w:val="24"/>
        </w:rPr>
      </w:pPr>
      <w:r>
        <w:rPr>
          <w:rFonts w:hint="eastAsia" w:ascii="宋体" w:hAnsi="宋体" w:cs="宋体"/>
          <w:b/>
          <w:color w:val="FF0000"/>
          <w:kern w:val="0"/>
          <w:sz w:val="24"/>
          <w:szCs w:val="24"/>
        </w:rPr>
        <w:t>投标文件必须密封，否则作无效响应处理。</w:t>
      </w:r>
    </w:p>
    <w:p>
      <w:pPr>
        <w:tabs>
          <w:tab w:val="left" w:pos="229"/>
        </w:tabs>
        <w:adjustRightInd w:val="0"/>
        <w:jc w:val="left"/>
        <w:rPr>
          <w:rFonts w:ascii="宋体" w:hAnsi="宋体" w:cs="宋体"/>
          <w:b/>
          <w:kern w:val="0"/>
          <w:sz w:val="24"/>
          <w:szCs w:val="24"/>
        </w:rPr>
      </w:pPr>
      <w:r>
        <w:rPr>
          <w:rFonts w:hint="eastAsia" w:ascii="宋体" w:hAnsi="宋体" w:cs="宋体"/>
          <w:b/>
          <w:kern w:val="0"/>
          <w:sz w:val="24"/>
          <w:szCs w:val="24"/>
        </w:rPr>
        <w:t>4.评标方法</w:t>
      </w:r>
    </w:p>
    <w:p>
      <w:pPr>
        <w:tabs>
          <w:tab w:val="left" w:pos="229"/>
        </w:tabs>
        <w:adjustRightInd w:val="0"/>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现场报价。</w:t>
      </w:r>
      <w:r>
        <w:rPr>
          <w:rFonts w:hint="eastAsia"/>
          <w:bCs/>
          <w:color w:val="000000" w:themeColor="text1"/>
          <w:sz w:val="24"/>
          <w:szCs w:val="24"/>
          <w14:textFill>
            <w14:solidFill>
              <w14:schemeClr w14:val="tx1"/>
            </w14:solidFill>
          </w14:textFill>
        </w:rPr>
        <w:t>原则上低价中标，但需经临床试用和相关专家认可确认。</w:t>
      </w:r>
      <w:r>
        <w:rPr>
          <w:bCs/>
          <w:color w:val="000000" w:themeColor="text1"/>
          <w:sz w:val="24"/>
          <w:szCs w:val="24"/>
          <w14:textFill>
            <w14:solidFill>
              <w14:schemeClr w14:val="tx1"/>
            </w14:solidFill>
          </w14:textFill>
        </w:rPr>
        <w:t xml:space="preserve"> </w:t>
      </w:r>
    </w:p>
    <w:p>
      <w:pPr>
        <w:tabs>
          <w:tab w:val="left" w:pos="229"/>
        </w:tabs>
        <w:adjustRightInd w:val="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2、意向中标产品需经医院办公会讨论通过后方可签合同。</w:t>
      </w:r>
    </w:p>
    <w:p>
      <w:pPr>
        <w:widowControl/>
        <w:adjustRightInd w:val="0"/>
        <w:jc w:val="left"/>
        <w:rPr>
          <w:b/>
          <w:kern w:val="0"/>
          <w:sz w:val="24"/>
          <w:szCs w:val="24"/>
        </w:rPr>
      </w:pPr>
      <w:r>
        <w:rPr>
          <w:b/>
          <w:kern w:val="0"/>
          <w:sz w:val="24"/>
          <w:szCs w:val="24"/>
        </w:rPr>
        <w:t>注意事项</w:t>
      </w:r>
      <w:r>
        <w:rPr>
          <w:rFonts w:hint="eastAsia"/>
          <w:b/>
          <w:kern w:val="0"/>
          <w:sz w:val="24"/>
          <w:szCs w:val="24"/>
        </w:rPr>
        <w:t>：</w:t>
      </w:r>
    </w:p>
    <w:p>
      <w:pPr>
        <w:widowControl/>
        <w:adjustRightInd w:val="0"/>
        <w:jc w:val="left"/>
        <w:rPr>
          <w:kern w:val="0"/>
          <w:sz w:val="24"/>
          <w:szCs w:val="24"/>
        </w:rPr>
      </w:pPr>
      <w:r>
        <w:rPr>
          <w:rFonts w:hint="eastAsia"/>
          <w:kern w:val="0"/>
          <w:sz w:val="24"/>
          <w:szCs w:val="24"/>
        </w:rPr>
        <w:t>1、</w:t>
      </w:r>
      <w:r>
        <w:rPr>
          <w:rFonts w:ascii="宋体" w:hAnsi="宋体" w:cs="宋体"/>
          <w:kern w:val="0"/>
          <w:sz w:val="24"/>
          <w:szCs w:val="24"/>
        </w:rPr>
        <w:t>报价均</w:t>
      </w:r>
      <w:r>
        <w:rPr>
          <w:rFonts w:hint="eastAsia" w:ascii="宋体" w:hAnsi="宋体" w:cs="宋体"/>
          <w:kern w:val="0"/>
          <w:sz w:val="24"/>
          <w:szCs w:val="24"/>
        </w:rPr>
        <w:t>以</w:t>
      </w:r>
      <w:r>
        <w:rPr>
          <w:rFonts w:ascii="宋体" w:hAnsi="宋体" w:cs="宋体"/>
          <w:kern w:val="0"/>
          <w:sz w:val="24"/>
          <w:szCs w:val="24"/>
        </w:rPr>
        <w:t>产品单价为报价标准</w:t>
      </w:r>
      <w:r>
        <w:rPr>
          <w:rFonts w:hint="eastAsia" w:ascii="宋体" w:hAnsi="宋体" w:cs="宋体"/>
          <w:kern w:val="0"/>
          <w:sz w:val="24"/>
          <w:szCs w:val="24"/>
        </w:rPr>
        <w:t>。</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3、经医院专家认定不能满足招标要求的项目，投标无效。</w:t>
      </w:r>
    </w:p>
    <w:p>
      <w:pPr>
        <w:widowControl/>
        <w:adjustRightInd w:val="0"/>
        <w:jc w:val="left"/>
        <w:rPr>
          <w:color w:val="FF0000"/>
          <w:kern w:val="0"/>
          <w:sz w:val="24"/>
          <w:szCs w:val="24"/>
        </w:rPr>
      </w:pPr>
    </w:p>
    <w:p>
      <w:pPr>
        <w:widowControl/>
        <w:adjustRightInd w:val="0"/>
        <w:jc w:val="left"/>
        <w:rPr>
          <w:rFonts w:ascii="宋体" w:hAnsi="宋体" w:cs="宋体"/>
          <w:kern w:val="0"/>
          <w:sz w:val="24"/>
          <w:szCs w:val="24"/>
        </w:rPr>
      </w:pPr>
      <w:r>
        <w:rPr>
          <w:rFonts w:hint="eastAsia" w:ascii="宋体" w:hAnsi="宋体" w:cs="宋体"/>
          <w:kern w:val="0"/>
          <w:sz w:val="24"/>
          <w:szCs w:val="24"/>
        </w:rPr>
        <w:t>4.交材料时间：202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5</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w:t>
      </w:r>
      <w:r>
        <w:rPr>
          <w:rFonts w:hint="eastAsia" w:ascii="宋体" w:hAnsi="宋体" w:cs="宋体"/>
          <w:kern w:val="0"/>
          <w:sz w:val="24"/>
          <w:szCs w:val="24"/>
          <w:lang w:val="en-US" w:eastAsia="zh-CN"/>
        </w:rPr>
        <w:t>下午3点前</w:t>
      </w:r>
      <w:r>
        <w:rPr>
          <w:rFonts w:hint="eastAsia" w:ascii="宋体" w:hAnsi="宋体" w:cs="宋体"/>
          <w:kern w:val="0"/>
          <w:sz w:val="24"/>
          <w:szCs w:val="24"/>
        </w:rPr>
        <w:t>，逾期不受理，地点在吉安市中心人民医院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p>
    <w:p>
      <w:pPr>
        <w:widowControl/>
        <w:adjustRightInd w:val="0"/>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rPr>
        <w:t>咨询地点：吉安市中心人民医院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r>
        <w:rPr>
          <w:rFonts w:hint="eastAsia" w:ascii="宋体" w:hAnsi="宋体" w:cs="宋体"/>
          <w:kern w:val="0"/>
          <w:sz w:val="24"/>
          <w:szCs w:val="24"/>
        </w:rPr>
        <w:t>现场开标时间：202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5</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13</w:t>
      </w:r>
      <w:r>
        <w:rPr>
          <w:rFonts w:hint="eastAsia" w:ascii="宋体" w:hAnsi="宋体" w:cs="宋体"/>
          <w:kern w:val="0"/>
          <w:sz w:val="24"/>
          <w:szCs w:val="24"/>
        </w:rPr>
        <w:t xml:space="preserve"> 日</w:t>
      </w:r>
      <w:r>
        <w:rPr>
          <w:rFonts w:hint="eastAsia" w:ascii="宋体" w:hAnsi="宋体" w:cs="宋体"/>
          <w:kern w:val="0"/>
          <w:sz w:val="24"/>
          <w:szCs w:val="24"/>
          <w:lang w:val="en-US" w:eastAsia="zh-CN"/>
        </w:rPr>
        <w:t>下午3</w:t>
      </w:r>
      <w:r>
        <w:rPr>
          <w:rFonts w:hint="eastAsia" w:ascii="宋体" w:hAnsi="宋体" w:cs="宋体"/>
          <w:kern w:val="0"/>
          <w:sz w:val="24"/>
          <w:szCs w:val="24"/>
        </w:rPr>
        <w:t>点</w:t>
      </w:r>
      <w:r>
        <w:rPr>
          <w:rFonts w:hint="eastAsia" w:ascii="宋体" w:hAnsi="宋体" w:cs="宋体"/>
          <w:kern w:val="0"/>
          <w:sz w:val="24"/>
          <w:szCs w:val="24"/>
          <w:lang w:eastAsia="zh-CN"/>
        </w:rPr>
        <w:t>。</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联系电话：15879610020</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邮箱：</w:t>
      </w:r>
      <w:r>
        <w:fldChar w:fldCharType="begin"/>
      </w:r>
      <w:r>
        <w:instrText xml:space="preserve"> HYPERLINK "mailto:229636767@qq.com" </w:instrText>
      </w:r>
      <w:r>
        <w:fldChar w:fldCharType="separate"/>
      </w:r>
      <w:r>
        <w:rPr>
          <w:rStyle w:val="10"/>
          <w:rFonts w:hint="eastAsia" w:ascii="宋体" w:hAnsi="宋体" w:cs="宋体"/>
          <w:kern w:val="0"/>
          <w:sz w:val="24"/>
          <w:szCs w:val="24"/>
        </w:rPr>
        <w:t>229636767@qq.com</w:t>
      </w:r>
      <w:r>
        <w:rPr>
          <w:rStyle w:val="10"/>
          <w:rFonts w:hint="eastAsia" w:ascii="宋体" w:hAnsi="宋体" w:cs="宋体"/>
          <w:kern w:val="0"/>
          <w:sz w:val="24"/>
          <w:szCs w:val="24"/>
        </w:rPr>
        <w:fldChar w:fldCharType="end"/>
      </w:r>
    </w:p>
    <w:p>
      <w:pPr>
        <w:widowControl/>
        <w:adjustRightInd w:val="0"/>
        <w:ind w:firstLine="240" w:firstLineChars="100"/>
        <w:jc w:val="left"/>
        <w:rPr>
          <w:rFonts w:ascii="宋体" w:hAnsi="宋体" w:cs="宋体"/>
          <w:kern w:val="0"/>
          <w:sz w:val="24"/>
          <w:szCs w:val="24"/>
        </w:rPr>
      </w:pPr>
      <w:bookmarkStart w:id="0" w:name="_GoBack"/>
      <w:bookmarkEnd w:id="0"/>
    </w:p>
    <w:p>
      <w:pPr>
        <w:widowControl/>
        <w:adjustRightInd w:val="0"/>
        <w:ind w:firstLine="240" w:firstLineChars="100"/>
        <w:jc w:val="left"/>
        <w:rPr>
          <w:rFonts w:ascii="宋体" w:hAnsi="宋体" w:cs="宋体"/>
          <w:kern w:val="0"/>
          <w:sz w:val="24"/>
          <w:szCs w:val="24"/>
        </w:rPr>
      </w:pPr>
    </w:p>
    <w:p>
      <w:pPr>
        <w:widowControl/>
        <w:adjustRightInd w:val="0"/>
        <w:jc w:val="right"/>
        <w:rPr>
          <w:rFonts w:hint="eastAsia" w:ascii="宋体" w:hAnsi="宋体" w:cs="宋体"/>
          <w:kern w:val="0"/>
          <w:sz w:val="24"/>
          <w:szCs w:val="24"/>
        </w:rPr>
      </w:pPr>
      <w:r>
        <w:rPr>
          <w:rFonts w:hint="eastAsia" w:ascii="宋体" w:hAnsi="宋体" w:cs="宋体"/>
          <w:kern w:val="0"/>
          <w:sz w:val="24"/>
          <w:szCs w:val="24"/>
        </w:rPr>
        <w:t>                               吉安市中心人民医院</w:t>
      </w:r>
    </w:p>
    <w:p>
      <w:pPr>
        <w:widowControl/>
        <w:adjustRightInd w:val="0"/>
        <w:jc w:val="right"/>
        <w:rPr>
          <w:rFonts w:ascii="宋体" w:hAnsi="宋体" w:cs="宋体"/>
          <w:b/>
          <w:bCs/>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w:t>
      </w:r>
      <w:r>
        <w:rPr>
          <w:rFonts w:hint="eastAsia" w:ascii="宋体" w:hAnsi="宋体" w:cs="宋体"/>
          <w:b/>
          <w:bCs/>
          <w:sz w:val="24"/>
          <w:szCs w:val="24"/>
        </w:rPr>
        <w:t xml:space="preserve">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5</w:t>
      </w:r>
      <w:r>
        <w:rPr>
          <w:rFonts w:hint="eastAsia" w:ascii="宋体" w:hAnsi="宋体" w:cs="宋体"/>
          <w:b/>
          <w:bCs/>
          <w:sz w:val="24"/>
          <w:szCs w:val="24"/>
        </w:rPr>
        <w:t>月</w:t>
      </w:r>
      <w:r>
        <w:rPr>
          <w:rFonts w:hint="eastAsia" w:ascii="宋体" w:hAnsi="宋体" w:cs="宋体"/>
          <w:b/>
          <w:bCs/>
          <w:sz w:val="24"/>
          <w:szCs w:val="24"/>
          <w:lang w:val="en-US" w:eastAsia="zh-CN"/>
        </w:rPr>
        <w:t>9</w:t>
      </w:r>
      <w:r>
        <w:rPr>
          <w:rFonts w:hint="eastAsia" w:ascii="宋体" w:hAnsi="宋体" w:cs="宋体"/>
          <w:b/>
          <w:bCs/>
          <w:sz w:val="24"/>
          <w:szCs w:val="24"/>
        </w:rPr>
        <w:t xml:space="preserve">日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sz w:val="24"/>
          <w:szCs w:val="24"/>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bl>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spacing w:line="360" w:lineRule="auto"/>
        <w:jc w:val="left"/>
        <w:rPr>
          <w:rFonts w:ascii="宋体" w:hAnsi="宋体" w:cs="宋体"/>
          <w:sz w:val="24"/>
          <w:szCs w:val="24"/>
        </w:rPr>
      </w:pPr>
      <w:r>
        <w:rPr>
          <w:rFonts w:hint="eastAsia" w:ascii="宋体" w:hAnsi="宋体" w:cs="宋体"/>
          <w:sz w:val="24"/>
          <w:szCs w:val="24"/>
        </w:rPr>
        <w:t>要求：</w:t>
      </w:r>
    </w:p>
    <w:p>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13</w:t>
            </w:r>
            <w:r>
              <w:rPr>
                <w:rFonts w:hint="eastAsia" w:ascii="宋体" w:hAnsi="宋体" w:cs="宋体"/>
                <w:bCs/>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r>
    </w:tbl>
    <w:p>
      <w:pPr>
        <w:rPr>
          <w:sz w:val="24"/>
          <w:szCs w:val="24"/>
        </w:rPr>
      </w:pPr>
    </w:p>
    <w:p>
      <w:pPr>
        <w:rPr>
          <w:sz w:val="24"/>
          <w:szCs w:val="24"/>
        </w:rPr>
      </w:pPr>
    </w:p>
    <w:p>
      <w:pPr>
        <w:rPr>
          <w:sz w:val="24"/>
          <w:szCs w:val="24"/>
        </w:rPr>
      </w:pPr>
    </w:p>
    <w:p>
      <w:pP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投标询价、议价承诺函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致：吉安市中心人民医院</w:t>
      </w:r>
    </w:p>
    <w:p>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pPr>
        <w:pStyle w:val="5"/>
        <w:spacing w:before="0" w:beforeAutospacing="0" w:after="360" w:afterAutospacing="0"/>
        <w:ind w:firstLine="540"/>
        <w:textAlignment w:val="baseline"/>
        <w:rPr>
          <w:rFonts w:cs="Arial" w:asciiTheme="minorEastAsia" w:hAnsiTheme="minorEastAsia" w:eastAsiaTheme="minorEastAsia"/>
          <w:color w:val="333333"/>
        </w:rPr>
      </w:pPr>
    </w:p>
    <w:p>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3760A36"/>
    <w:rsid w:val="03E31938"/>
    <w:rsid w:val="04214485"/>
    <w:rsid w:val="042D5ACB"/>
    <w:rsid w:val="04342DE5"/>
    <w:rsid w:val="04A80451"/>
    <w:rsid w:val="05E414D8"/>
    <w:rsid w:val="06732DD2"/>
    <w:rsid w:val="06B1763E"/>
    <w:rsid w:val="072E33F4"/>
    <w:rsid w:val="07D7113E"/>
    <w:rsid w:val="088B7712"/>
    <w:rsid w:val="08AA59B2"/>
    <w:rsid w:val="08FA5CE8"/>
    <w:rsid w:val="0B8E67E2"/>
    <w:rsid w:val="0D1D3292"/>
    <w:rsid w:val="0DD04666"/>
    <w:rsid w:val="0DD57ECC"/>
    <w:rsid w:val="0DF51265"/>
    <w:rsid w:val="0FA67E1C"/>
    <w:rsid w:val="10806817"/>
    <w:rsid w:val="11863E28"/>
    <w:rsid w:val="11BB604C"/>
    <w:rsid w:val="11C444E1"/>
    <w:rsid w:val="12887BC1"/>
    <w:rsid w:val="135A76B3"/>
    <w:rsid w:val="147556AF"/>
    <w:rsid w:val="14E35709"/>
    <w:rsid w:val="15EF0FCE"/>
    <w:rsid w:val="16353C00"/>
    <w:rsid w:val="17792AAB"/>
    <w:rsid w:val="187F5606"/>
    <w:rsid w:val="18DE057F"/>
    <w:rsid w:val="18DF7E53"/>
    <w:rsid w:val="1931504F"/>
    <w:rsid w:val="1A02204B"/>
    <w:rsid w:val="1ACB7EC9"/>
    <w:rsid w:val="1AE856E5"/>
    <w:rsid w:val="1B6603B7"/>
    <w:rsid w:val="1B742AD4"/>
    <w:rsid w:val="1BFE2CE6"/>
    <w:rsid w:val="1E3B3D7D"/>
    <w:rsid w:val="1EDC6F54"/>
    <w:rsid w:val="1FDD0560"/>
    <w:rsid w:val="20947775"/>
    <w:rsid w:val="20EF0E4F"/>
    <w:rsid w:val="2173655D"/>
    <w:rsid w:val="21757025"/>
    <w:rsid w:val="21EB7868"/>
    <w:rsid w:val="226E1867"/>
    <w:rsid w:val="2409047A"/>
    <w:rsid w:val="24134E54"/>
    <w:rsid w:val="25166FF2"/>
    <w:rsid w:val="256002C8"/>
    <w:rsid w:val="2580651A"/>
    <w:rsid w:val="25C1725E"/>
    <w:rsid w:val="25F0173F"/>
    <w:rsid w:val="262241EA"/>
    <w:rsid w:val="266240CD"/>
    <w:rsid w:val="26644CF8"/>
    <w:rsid w:val="268B33C8"/>
    <w:rsid w:val="272C6959"/>
    <w:rsid w:val="27766813"/>
    <w:rsid w:val="2781521D"/>
    <w:rsid w:val="2789416A"/>
    <w:rsid w:val="282D4FFC"/>
    <w:rsid w:val="283C5022"/>
    <w:rsid w:val="28CD7CC8"/>
    <w:rsid w:val="29146FF1"/>
    <w:rsid w:val="291E0523"/>
    <w:rsid w:val="295E31DA"/>
    <w:rsid w:val="2A2E6A0E"/>
    <w:rsid w:val="2AAE58D7"/>
    <w:rsid w:val="2AC17053"/>
    <w:rsid w:val="2B1E480B"/>
    <w:rsid w:val="2B655410"/>
    <w:rsid w:val="2BE258E9"/>
    <w:rsid w:val="2CC220CB"/>
    <w:rsid w:val="2E756E38"/>
    <w:rsid w:val="2EDF69A7"/>
    <w:rsid w:val="2F3838CC"/>
    <w:rsid w:val="2F5B28C9"/>
    <w:rsid w:val="2F77098D"/>
    <w:rsid w:val="30E262DA"/>
    <w:rsid w:val="30E87D95"/>
    <w:rsid w:val="324A73AD"/>
    <w:rsid w:val="32870EE7"/>
    <w:rsid w:val="32FD7C0C"/>
    <w:rsid w:val="33192C4B"/>
    <w:rsid w:val="33323549"/>
    <w:rsid w:val="3370246B"/>
    <w:rsid w:val="35047349"/>
    <w:rsid w:val="35281681"/>
    <w:rsid w:val="35656898"/>
    <w:rsid w:val="364517E5"/>
    <w:rsid w:val="3699443D"/>
    <w:rsid w:val="36E70D89"/>
    <w:rsid w:val="380C64FB"/>
    <w:rsid w:val="386A3D5A"/>
    <w:rsid w:val="386C17A3"/>
    <w:rsid w:val="38CA4224"/>
    <w:rsid w:val="38FD1C63"/>
    <w:rsid w:val="390E64C0"/>
    <w:rsid w:val="39B61056"/>
    <w:rsid w:val="3A801003"/>
    <w:rsid w:val="3ADD7E34"/>
    <w:rsid w:val="3C0A5218"/>
    <w:rsid w:val="3C4564D3"/>
    <w:rsid w:val="3C6A368A"/>
    <w:rsid w:val="3C9F7A4A"/>
    <w:rsid w:val="3D363C36"/>
    <w:rsid w:val="3DEA5163"/>
    <w:rsid w:val="3E8B6203"/>
    <w:rsid w:val="3F237E46"/>
    <w:rsid w:val="3F2C3542"/>
    <w:rsid w:val="40743CB3"/>
    <w:rsid w:val="40CA2FAF"/>
    <w:rsid w:val="410D2F00"/>
    <w:rsid w:val="41E77BF5"/>
    <w:rsid w:val="41FD11C6"/>
    <w:rsid w:val="420D1477"/>
    <w:rsid w:val="42F419B6"/>
    <w:rsid w:val="443B46BF"/>
    <w:rsid w:val="4475773A"/>
    <w:rsid w:val="45A858ED"/>
    <w:rsid w:val="45E87A97"/>
    <w:rsid w:val="466A47F7"/>
    <w:rsid w:val="467E7FA2"/>
    <w:rsid w:val="468D3EDC"/>
    <w:rsid w:val="48126F50"/>
    <w:rsid w:val="486C49B0"/>
    <w:rsid w:val="4AFF5FAF"/>
    <w:rsid w:val="4B817F88"/>
    <w:rsid w:val="4BA608E8"/>
    <w:rsid w:val="4BC10A69"/>
    <w:rsid w:val="4BCB0F4B"/>
    <w:rsid w:val="4BF076A6"/>
    <w:rsid w:val="4C8C73CE"/>
    <w:rsid w:val="4CFE5DF2"/>
    <w:rsid w:val="4DA22C22"/>
    <w:rsid w:val="4EE9189F"/>
    <w:rsid w:val="4F4C1097"/>
    <w:rsid w:val="501C0736"/>
    <w:rsid w:val="51E97071"/>
    <w:rsid w:val="52426C5E"/>
    <w:rsid w:val="53EE4E13"/>
    <w:rsid w:val="54FA7A9E"/>
    <w:rsid w:val="55256273"/>
    <w:rsid w:val="55535184"/>
    <w:rsid w:val="55983288"/>
    <w:rsid w:val="56C65BD3"/>
    <w:rsid w:val="56CB4CE1"/>
    <w:rsid w:val="56D26326"/>
    <w:rsid w:val="56D4209E"/>
    <w:rsid w:val="5875340D"/>
    <w:rsid w:val="594F0101"/>
    <w:rsid w:val="59BC506B"/>
    <w:rsid w:val="59E56370"/>
    <w:rsid w:val="5A8E2EAB"/>
    <w:rsid w:val="5AD05272"/>
    <w:rsid w:val="5B3B47F0"/>
    <w:rsid w:val="5B555777"/>
    <w:rsid w:val="5BF46D3E"/>
    <w:rsid w:val="5D2D075A"/>
    <w:rsid w:val="5D645056"/>
    <w:rsid w:val="5DCF7A63"/>
    <w:rsid w:val="5E0744EC"/>
    <w:rsid w:val="5E146A5A"/>
    <w:rsid w:val="60235E44"/>
    <w:rsid w:val="60471B32"/>
    <w:rsid w:val="60956D42"/>
    <w:rsid w:val="60C5514D"/>
    <w:rsid w:val="60DE4A28"/>
    <w:rsid w:val="60F35085"/>
    <w:rsid w:val="631F22F8"/>
    <w:rsid w:val="634821C8"/>
    <w:rsid w:val="63526405"/>
    <w:rsid w:val="63BB49CD"/>
    <w:rsid w:val="640F6E0B"/>
    <w:rsid w:val="64964A96"/>
    <w:rsid w:val="64FB2EEB"/>
    <w:rsid w:val="654900FB"/>
    <w:rsid w:val="6560706A"/>
    <w:rsid w:val="65654544"/>
    <w:rsid w:val="65AB2B63"/>
    <w:rsid w:val="65BD4645"/>
    <w:rsid w:val="669F0762"/>
    <w:rsid w:val="66B9305E"/>
    <w:rsid w:val="66D439F4"/>
    <w:rsid w:val="66F253BE"/>
    <w:rsid w:val="671A51EF"/>
    <w:rsid w:val="67B76A09"/>
    <w:rsid w:val="683F5106"/>
    <w:rsid w:val="68776D2D"/>
    <w:rsid w:val="68B93350"/>
    <w:rsid w:val="69470DF5"/>
    <w:rsid w:val="6B0E4AAC"/>
    <w:rsid w:val="6B9B51DC"/>
    <w:rsid w:val="6BBC4BAC"/>
    <w:rsid w:val="6D2A61A5"/>
    <w:rsid w:val="6DB17DC0"/>
    <w:rsid w:val="6E056B89"/>
    <w:rsid w:val="6E3A0F28"/>
    <w:rsid w:val="6EDC5B3C"/>
    <w:rsid w:val="6F743FC6"/>
    <w:rsid w:val="6FBE7A30"/>
    <w:rsid w:val="6FF42A24"/>
    <w:rsid w:val="70582F59"/>
    <w:rsid w:val="70E04929"/>
    <w:rsid w:val="7190494A"/>
    <w:rsid w:val="72444124"/>
    <w:rsid w:val="72A8634B"/>
    <w:rsid w:val="730E04B9"/>
    <w:rsid w:val="731B11E1"/>
    <w:rsid w:val="735B1DDE"/>
    <w:rsid w:val="739449FB"/>
    <w:rsid w:val="74085576"/>
    <w:rsid w:val="74C2787E"/>
    <w:rsid w:val="753348CC"/>
    <w:rsid w:val="75475CD9"/>
    <w:rsid w:val="7561323F"/>
    <w:rsid w:val="768371E5"/>
    <w:rsid w:val="76BF4F23"/>
    <w:rsid w:val="77003BA5"/>
    <w:rsid w:val="77042905"/>
    <w:rsid w:val="781E1C75"/>
    <w:rsid w:val="78F97604"/>
    <w:rsid w:val="78FC4F0A"/>
    <w:rsid w:val="79246A5D"/>
    <w:rsid w:val="7A0304D2"/>
    <w:rsid w:val="7A251B8D"/>
    <w:rsid w:val="7AB05DB1"/>
    <w:rsid w:val="7B5A3ACE"/>
    <w:rsid w:val="7B8D6968"/>
    <w:rsid w:val="7C52568F"/>
    <w:rsid w:val="7DA568A7"/>
    <w:rsid w:val="7EA06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530</Words>
  <Characters>3022</Characters>
  <Lines>25</Lines>
  <Paragraphs>7</Paragraphs>
  <TotalTime>7</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2024-01-28T02:55:00Z</cp:lastPrinted>
  <dcterms:modified xsi:type="dcterms:W3CDTF">2024-05-09T09:13:41Z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C46A012E384F4A759742B36E3B77A5AC_13</vt:lpwstr>
  </property>
  <property fmtid="{D5CDD505-2E9C-101B-9397-08002B2CF9AE}" pid="4" name="commondata">
    <vt:lpwstr>eyJoZGlkIjoiYTQ0ZWM0MDkxZGVlMDc2MGI3OTc3NGE1ZGI1ZGU5OTkifQ==</vt:lpwstr>
  </property>
</Properties>
</file>