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检验科生化免疫试剂医用耗材</w:t>
      </w:r>
      <w:r>
        <w:rPr>
          <w:rFonts w:hint="eastAsia" w:ascii="宋体" w:hAnsi="宋体" w:cs="宋体"/>
          <w:b/>
          <w:bCs/>
          <w:color w:val="auto"/>
          <w:kern w:val="0"/>
          <w:sz w:val="32"/>
          <w:szCs w:val="32"/>
        </w:rPr>
        <w:t>意向招标公告</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检验科</w:t>
            </w:r>
            <w:r>
              <w:rPr>
                <w:rFonts w:hint="eastAsia" w:ascii="宋体" w:hAnsi="宋体" w:eastAsia="宋体" w:cs="宋体"/>
                <w:b w:val="0"/>
                <w:bCs w:val="0"/>
                <w:sz w:val="24"/>
                <w:szCs w:val="24"/>
                <w:lang w:val="en-US" w:eastAsia="zh-CN"/>
              </w:rPr>
              <w:t>生化</w:t>
            </w:r>
            <w:r>
              <w:rPr>
                <w:rFonts w:hint="eastAsia" w:ascii="宋体" w:hAnsi="宋体" w:eastAsia="宋体" w:cs="宋体"/>
                <w:b w:val="0"/>
                <w:bCs w:val="0"/>
                <w:sz w:val="24"/>
                <w:szCs w:val="24"/>
                <w:lang w:eastAsia="zh-CN"/>
              </w:rPr>
              <w:t>试剂</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sz w:val="24"/>
                <w:szCs w:val="24"/>
                <w:highlight w:val="none"/>
                <w:u w:val="none"/>
                <w:lang w:eastAsia="zh-CN"/>
              </w:rPr>
              <w:t>总蛋白（</w:t>
            </w:r>
            <w:r>
              <w:rPr>
                <w:rFonts w:hint="eastAsia" w:ascii="宋体" w:hAnsi="宋体" w:eastAsia="宋体" w:cs="宋体"/>
                <w:b w:val="0"/>
                <w:bCs w:val="0"/>
                <w:sz w:val="24"/>
                <w:szCs w:val="24"/>
                <w:highlight w:val="none"/>
                <w:u w:val="none"/>
                <w:lang w:val="en-US" w:eastAsia="zh-CN"/>
              </w:rPr>
              <w:t>TP</w:t>
            </w:r>
            <w:r>
              <w:rPr>
                <w:rFonts w:hint="eastAsia" w:ascii="宋体" w:hAnsi="宋体" w:eastAsia="宋体" w:cs="宋体"/>
                <w:b w:val="0"/>
                <w:bCs w:val="0"/>
                <w:sz w:val="24"/>
                <w:szCs w:val="24"/>
                <w:highlight w:val="none"/>
                <w:u w:val="none"/>
                <w:lang w:eastAsia="zh-CN"/>
              </w:rPr>
              <w:t>）</w:t>
            </w:r>
            <w:r>
              <w:rPr>
                <w:rFonts w:hint="eastAsia" w:ascii="宋体" w:hAnsi="宋体" w:eastAsia="宋体" w:cs="宋体"/>
                <w:b w:val="0"/>
                <w:bCs w:val="0"/>
                <w:sz w:val="24"/>
                <w:szCs w:val="24"/>
                <w:highlight w:val="none"/>
                <w:u w:val="none"/>
                <w:lang w:val="en-US" w:eastAsia="zh-CN"/>
              </w:rPr>
              <w:t>、白蛋白（ALB）、丙氨酸氨基转移酶（ALT）、天门冬氨酸氨基转移酶（AST）、碱性磷酸酶（ALP）、谷氨酰转肽酶（GGT）、乳酸脱氢酶（LDH）、胆碱酯酶（CHE）、总胆红素（TBIL）、直接胆红素（DBIL）</w:t>
            </w:r>
            <w:r>
              <w:rPr>
                <w:rFonts w:hint="eastAsia" w:ascii="宋体" w:hAnsi="宋体" w:eastAsia="宋体" w:cs="宋体"/>
                <w:b w:val="0"/>
                <w:bCs w:val="0"/>
                <w:sz w:val="24"/>
                <w:szCs w:val="24"/>
                <w:u w:val="none"/>
                <w:lang w:val="en-US" w:eastAsia="zh-CN"/>
              </w:rPr>
              <w:t>、α-酸性糖蛋白（AGP）、触珠蛋白（HAP）、</w:t>
            </w:r>
            <w:r>
              <w:rPr>
                <w:rFonts w:hint="eastAsia" w:ascii="宋体" w:hAnsi="宋体" w:eastAsia="宋体" w:cs="宋体"/>
                <w:b w:val="0"/>
                <w:bCs w:val="0"/>
                <w:sz w:val="24"/>
                <w:szCs w:val="24"/>
                <w:highlight w:val="none"/>
                <w:u w:val="none"/>
                <w:lang w:val="en-US" w:eastAsia="zh-CN"/>
              </w:rPr>
              <w:t>前白蛋白（PREA）</w:t>
            </w:r>
            <w:r>
              <w:rPr>
                <w:rFonts w:hint="eastAsia" w:ascii="宋体" w:hAnsi="宋体" w:eastAsia="宋体" w:cs="宋体"/>
                <w:b w:val="0"/>
                <w:bCs w:val="0"/>
                <w:sz w:val="24"/>
                <w:szCs w:val="24"/>
                <w:u w:val="none"/>
                <w:lang w:val="en-US" w:eastAsia="zh-CN"/>
              </w:rPr>
              <w:t>、超氧化物歧化酶（SOD）、</w:t>
            </w:r>
            <w:r>
              <w:rPr>
                <w:rFonts w:hint="eastAsia" w:ascii="宋体" w:hAnsi="宋体" w:eastAsia="宋体" w:cs="宋体"/>
                <w:b w:val="0"/>
                <w:bCs w:val="0"/>
                <w:sz w:val="24"/>
                <w:szCs w:val="24"/>
                <w:highlight w:val="none"/>
                <w:u w:val="none"/>
                <w:lang w:val="en-US" w:eastAsia="zh-CN"/>
              </w:rPr>
              <w:t>腺苷脱氨酶（ADA）、总胆</w:t>
            </w:r>
            <w:r>
              <w:rPr>
                <w:rFonts w:hint="eastAsia" w:ascii="宋体" w:hAnsi="宋体" w:cs="宋体"/>
                <w:b w:val="0"/>
                <w:bCs w:val="0"/>
                <w:sz w:val="24"/>
                <w:szCs w:val="24"/>
                <w:highlight w:val="none"/>
                <w:u w:val="none"/>
                <w:lang w:val="en-US" w:eastAsia="zh-CN"/>
              </w:rPr>
              <w:t>汁酸</w:t>
            </w:r>
            <w:r>
              <w:rPr>
                <w:rFonts w:hint="eastAsia" w:ascii="宋体" w:hAnsi="宋体" w:eastAsia="宋体" w:cs="宋体"/>
                <w:b w:val="0"/>
                <w:bCs w:val="0"/>
                <w:sz w:val="24"/>
                <w:szCs w:val="24"/>
                <w:highlight w:val="none"/>
                <w:u w:val="none"/>
                <w:lang w:val="en-US" w:eastAsia="zh-CN"/>
              </w:rPr>
              <w:t>（TBA）、甘胆酸（CG）、5-NT、AFU、</w:t>
            </w:r>
            <w:r>
              <w:rPr>
                <w:rFonts w:hint="eastAsia" w:ascii="宋体" w:hAnsi="宋体" w:eastAsia="宋体" w:cs="宋体"/>
                <w:b w:val="0"/>
                <w:bCs w:val="0"/>
                <w:sz w:val="24"/>
                <w:szCs w:val="24"/>
              </w:rPr>
              <w:t>肌酐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CREA</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、尿素氮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UREA</w:t>
            </w:r>
            <w:r>
              <w:rPr>
                <w:rFonts w:hint="eastAsia" w:ascii="宋体" w:hAnsi="宋体" w:eastAsia="宋体" w:cs="宋体"/>
                <w:b w:val="0"/>
                <w:bCs w:val="0"/>
                <w:sz w:val="24"/>
                <w:szCs w:val="24"/>
                <w:lang w:eastAsia="zh-CN"/>
              </w:rPr>
              <w:t>）、尿酸（</w:t>
            </w:r>
            <w:r>
              <w:rPr>
                <w:rFonts w:hint="eastAsia" w:ascii="宋体" w:hAnsi="宋体" w:eastAsia="宋体" w:cs="宋体"/>
                <w:b w:val="0"/>
                <w:bCs w:val="0"/>
                <w:sz w:val="24"/>
                <w:szCs w:val="24"/>
                <w:lang w:val="en-US" w:eastAsia="zh-CN"/>
              </w:rPr>
              <w:t>UA</w:t>
            </w:r>
            <w:r>
              <w:rPr>
                <w:rFonts w:hint="eastAsia" w:ascii="宋体" w:hAnsi="宋体" w:eastAsia="宋体" w:cs="宋体"/>
                <w:b w:val="0"/>
                <w:bCs w:val="0"/>
                <w:sz w:val="24"/>
                <w:szCs w:val="24"/>
                <w:lang w:eastAsia="zh-CN"/>
              </w:rPr>
              <w:t>）、视黄醇结合蛋白（</w:t>
            </w:r>
            <w:r>
              <w:rPr>
                <w:rFonts w:hint="eastAsia" w:ascii="宋体" w:hAnsi="宋体" w:eastAsia="宋体" w:cs="宋体"/>
                <w:b w:val="0"/>
                <w:bCs w:val="0"/>
                <w:sz w:val="24"/>
                <w:szCs w:val="24"/>
                <w:lang w:val="en-US" w:eastAsia="zh-CN"/>
              </w:rPr>
              <w:t>RBP</w:t>
            </w:r>
            <w:r>
              <w:rPr>
                <w:rFonts w:hint="eastAsia" w:ascii="宋体" w:hAnsi="宋体" w:eastAsia="宋体" w:cs="宋体"/>
                <w:b w:val="0"/>
                <w:bCs w:val="0"/>
                <w:sz w:val="24"/>
                <w:szCs w:val="24"/>
                <w:lang w:eastAsia="zh-CN"/>
              </w:rPr>
              <w:t>）、胱抑素</w:t>
            </w:r>
            <w:r>
              <w:rPr>
                <w:rFonts w:hint="eastAsia" w:ascii="宋体" w:hAnsi="宋体" w:eastAsia="宋体" w:cs="宋体"/>
                <w:b w:val="0"/>
                <w:bCs w:val="0"/>
                <w:sz w:val="24"/>
                <w:szCs w:val="24"/>
                <w:lang w:val="en-US" w:eastAsia="zh-CN"/>
              </w:rPr>
              <w:t>C（CYSC）、</w:t>
            </w:r>
            <w:r>
              <w:rPr>
                <w:rFonts w:hint="eastAsia" w:ascii="宋体" w:hAnsi="宋体" w:eastAsia="宋体" w:cs="宋体"/>
                <w:b w:val="0"/>
                <w:bCs w:val="0"/>
                <w:sz w:val="24"/>
                <w:szCs w:val="24"/>
                <w:highlight w:val="none"/>
                <w:u w:val="none"/>
                <w:lang w:val="en-US" w:eastAsia="zh-CN"/>
              </w:rPr>
              <w:t>β2-MG、</w:t>
            </w:r>
            <w:r>
              <w:rPr>
                <w:rFonts w:hint="eastAsia" w:ascii="宋体" w:hAnsi="宋体" w:eastAsia="宋体" w:cs="宋体"/>
                <w:b w:val="0"/>
                <w:bCs w:val="0"/>
                <w:sz w:val="24"/>
                <w:szCs w:val="24"/>
              </w:rPr>
              <w:t>血糖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none"/>
              </w:rPr>
              <w:t>总胆固醇</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CHOL</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、甘油三酯</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TG</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、高密度脂蛋白胆固醇</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HDL</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、低密度脂蛋白胆固醇</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LDL</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lang w:eastAsia="zh-CN"/>
              </w:rPr>
              <w:t>、载脂蛋白</w:t>
            </w:r>
            <w:r>
              <w:rPr>
                <w:rFonts w:hint="eastAsia" w:ascii="宋体" w:hAnsi="宋体" w:eastAsia="宋体" w:cs="宋体"/>
                <w:b w:val="0"/>
                <w:bCs w:val="0"/>
                <w:sz w:val="24"/>
                <w:szCs w:val="24"/>
                <w:lang w:val="en-US" w:eastAsia="zh-CN"/>
              </w:rPr>
              <w:t>A1（ApoA1）、载脂蛋白B（ApoB）、脂蛋白a（LPa）、</w:t>
            </w:r>
            <w:r>
              <w:rPr>
                <w:rFonts w:hint="eastAsia" w:ascii="宋体" w:hAnsi="宋体" w:eastAsia="宋体" w:cs="宋体"/>
                <w:b w:val="0"/>
                <w:bCs w:val="0"/>
                <w:sz w:val="24"/>
                <w:szCs w:val="24"/>
                <w:lang w:eastAsia="zh-CN"/>
              </w:rPr>
              <w:t>同型半胱氨酸（</w:t>
            </w:r>
            <w:r>
              <w:rPr>
                <w:rFonts w:hint="eastAsia" w:ascii="宋体" w:hAnsi="宋体" w:eastAsia="宋体" w:cs="宋体"/>
                <w:b w:val="0"/>
                <w:bCs w:val="0"/>
                <w:sz w:val="24"/>
                <w:szCs w:val="24"/>
                <w:lang w:val="en-US" w:eastAsia="zh-CN"/>
              </w:rPr>
              <w:t>HCY</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APOE、</w:t>
            </w:r>
            <w:r>
              <w:rPr>
                <w:rFonts w:hint="eastAsia" w:ascii="宋体" w:hAnsi="宋体" w:eastAsia="宋体" w:cs="宋体"/>
                <w:b w:val="0"/>
                <w:bCs w:val="0"/>
                <w:sz w:val="24"/>
                <w:szCs w:val="24"/>
              </w:rPr>
              <w:t>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K</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NA</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CL</w:t>
            </w:r>
            <w:r>
              <w:rPr>
                <w:rFonts w:hint="eastAsia" w:ascii="宋体" w:hAnsi="宋体" w:eastAsia="宋体" w:cs="宋体"/>
                <w:b w:val="0"/>
                <w:bCs w:val="0"/>
                <w:sz w:val="24"/>
                <w:szCs w:val="24"/>
                <w:lang w:eastAsia="zh-CN"/>
              </w:rPr>
              <w:t>）、二氧化碳（</w:t>
            </w:r>
            <w:r>
              <w:rPr>
                <w:rFonts w:hint="eastAsia" w:ascii="宋体" w:hAnsi="宋体" w:eastAsia="宋体" w:cs="宋体"/>
                <w:b w:val="0"/>
                <w:bCs w:val="0"/>
                <w:sz w:val="24"/>
                <w:szCs w:val="24"/>
                <w:lang w:val="en-US" w:eastAsia="zh-CN"/>
              </w:rPr>
              <w:t>CO2</w:t>
            </w:r>
            <w:r>
              <w:rPr>
                <w:rFonts w:hint="eastAsia" w:ascii="宋体" w:hAnsi="宋体" w:eastAsia="宋体" w:cs="宋体"/>
                <w:b w:val="0"/>
                <w:bCs w:val="0"/>
                <w:sz w:val="24"/>
                <w:szCs w:val="24"/>
                <w:lang w:eastAsia="zh-CN"/>
              </w:rPr>
              <w:t>）、钙（</w:t>
            </w:r>
            <w:r>
              <w:rPr>
                <w:rFonts w:hint="eastAsia" w:ascii="宋体" w:hAnsi="宋体" w:eastAsia="宋体" w:cs="宋体"/>
                <w:b w:val="0"/>
                <w:bCs w:val="0"/>
                <w:sz w:val="24"/>
                <w:szCs w:val="24"/>
                <w:lang w:val="en-US" w:eastAsia="zh-CN"/>
              </w:rPr>
              <w:t>CA</w:t>
            </w:r>
            <w:r>
              <w:rPr>
                <w:rFonts w:hint="eastAsia" w:ascii="宋体" w:hAnsi="宋体" w:eastAsia="宋体" w:cs="宋体"/>
                <w:b w:val="0"/>
                <w:bCs w:val="0"/>
                <w:sz w:val="24"/>
                <w:szCs w:val="24"/>
                <w:lang w:eastAsia="zh-CN"/>
              </w:rPr>
              <w:t>）、无机磷（</w:t>
            </w:r>
            <w:r>
              <w:rPr>
                <w:rFonts w:hint="eastAsia" w:ascii="宋体" w:hAnsi="宋体" w:eastAsia="宋体" w:cs="宋体"/>
                <w:b w:val="0"/>
                <w:bCs w:val="0"/>
                <w:sz w:val="24"/>
                <w:szCs w:val="24"/>
                <w:lang w:val="en-US" w:eastAsia="zh-CN"/>
              </w:rPr>
              <w:t>PHOS</w:t>
            </w:r>
            <w:r>
              <w:rPr>
                <w:rFonts w:hint="eastAsia" w:ascii="宋体" w:hAnsi="宋体" w:eastAsia="宋体" w:cs="宋体"/>
                <w:b w:val="0"/>
                <w:bCs w:val="0"/>
                <w:sz w:val="24"/>
                <w:szCs w:val="24"/>
                <w:lang w:eastAsia="zh-CN"/>
              </w:rPr>
              <w:t>）、镁（</w:t>
            </w:r>
            <w:r>
              <w:rPr>
                <w:rFonts w:hint="eastAsia" w:ascii="宋体" w:hAnsi="宋体" w:eastAsia="宋体" w:cs="宋体"/>
                <w:b w:val="0"/>
                <w:bCs w:val="0"/>
                <w:sz w:val="24"/>
                <w:szCs w:val="24"/>
                <w:lang w:val="en-US" w:eastAsia="zh-CN"/>
              </w:rPr>
              <w:t>MG</w:t>
            </w:r>
            <w:r>
              <w:rPr>
                <w:rFonts w:hint="eastAsia" w:ascii="宋体" w:hAnsi="宋体" w:eastAsia="宋体" w:cs="宋体"/>
                <w:b w:val="0"/>
                <w:bCs w:val="0"/>
                <w:sz w:val="24"/>
                <w:szCs w:val="24"/>
                <w:lang w:eastAsia="zh-CN"/>
              </w:rPr>
              <w:t>）、铁（</w:t>
            </w:r>
            <w:r>
              <w:rPr>
                <w:rFonts w:hint="eastAsia" w:ascii="宋体" w:hAnsi="宋体" w:eastAsia="宋体" w:cs="宋体"/>
                <w:b w:val="0"/>
                <w:bCs w:val="0"/>
                <w:sz w:val="24"/>
                <w:szCs w:val="24"/>
                <w:lang w:val="en-US" w:eastAsia="zh-CN"/>
              </w:rPr>
              <w:t>IRON</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肌酸激酶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CK</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肌酸激酶</w:t>
            </w:r>
            <w:r>
              <w:rPr>
                <w:rFonts w:hint="eastAsia" w:ascii="宋体" w:hAnsi="宋体" w:eastAsia="宋体" w:cs="宋体"/>
                <w:b w:val="0"/>
                <w:bCs w:val="0"/>
                <w:sz w:val="24"/>
                <w:szCs w:val="24"/>
              </w:rPr>
              <w:t>同工酶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CKMB</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类风湿因子、抗“O”</w:t>
            </w:r>
            <w:r>
              <w:rPr>
                <w:rFonts w:hint="eastAsia" w:ascii="宋体" w:hAnsi="宋体" w:eastAsia="宋体" w:cs="宋体"/>
                <w:b w:val="0"/>
                <w:bCs w:val="0"/>
                <w:sz w:val="24"/>
                <w:szCs w:val="24"/>
                <w:lang w:eastAsia="zh-CN"/>
              </w:rPr>
              <w:t>、免疫球蛋白</w:t>
            </w:r>
            <w:r>
              <w:rPr>
                <w:rFonts w:hint="eastAsia" w:ascii="宋体" w:hAnsi="宋体" w:eastAsia="宋体" w:cs="宋体"/>
                <w:b w:val="0"/>
                <w:bCs w:val="0"/>
                <w:sz w:val="24"/>
                <w:szCs w:val="24"/>
                <w:lang w:val="en-US" w:eastAsia="zh-CN"/>
              </w:rPr>
              <w:t>G、</w:t>
            </w:r>
            <w:r>
              <w:rPr>
                <w:rFonts w:hint="eastAsia" w:ascii="宋体" w:hAnsi="宋体" w:eastAsia="宋体" w:cs="宋体"/>
                <w:b w:val="0"/>
                <w:bCs w:val="0"/>
                <w:sz w:val="24"/>
                <w:szCs w:val="24"/>
                <w:lang w:eastAsia="zh-CN"/>
              </w:rPr>
              <w:t>免疫球蛋白</w:t>
            </w: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lang w:eastAsia="zh-CN"/>
              </w:rPr>
              <w:t>免疫球蛋白</w:t>
            </w:r>
            <w:r>
              <w:rPr>
                <w:rFonts w:hint="eastAsia" w:ascii="宋体" w:hAnsi="宋体" w:eastAsia="宋体" w:cs="宋体"/>
                <w:b w:val="0"/>
                <w:bCs w:val="0"/>
                <w:sz w:val="24"/>
                <w:szCs w:val="24"/>
                <w:lang w:val="en-US" w:eastAsia="zh-CN"/>
              </w:rPr>
              <w:t>M、</w:t>
            </w:r>
            <w:r>
              <w:rPr>
                <w:rFonts w:hint="eastAsia" w:ascii="宋体" w:hAnsi="宋体" w:eastAsia="宋体" w:cs="宋体"/>
                <w:b w:val="0"/>
                <w:bCs w:val="0"/>
                <w:sz w:val="24"/>
                <w:szCs w:val="24"/>
                <w:lang w:eastAsia="zh-CN"/>
              </w:rPr>
              <w:t>免疫球蛋白</w:t>
            </w:r>
            <w:r>
              <w:rPr>
                <w:rFonts w:hint="eastAsia" w:ascii="宋体" w:hAnsi="宋体" w:eastAsia="宋体" w:cs="宋体"/>
                <w:b w:val="0"/>
                <w:bCs w:val="0"/>
                <w:sz w:val="24"/>
                <w:szCs w:val="24"/>
                <w:lang w:val="en-US" w:eastAsia="zh-CN"/>
              </w:rPr>
              <w:t>E，补体C3、补体C4、尿微量白蛋白、淀粉酶（AMY）、血氨（NH3）、尿液脑脊液蛋白、</w:t>
            </w:r>
            <w:r>
              <w:rPr>
                <w:rFonts w:hint="eastAsia" w:ascii="宋体" w:hAnsi="宋体" w:eastAsia="宋体" w:cs="宋体"/>
                <w:b w:val="0"/>
                <w:bCs w:val="0"/>
                <w:sz w:val="24"/>
                <w:szCs w:val="24"/>
                <w:highlight w:val="none"/>
                <w:u w:val="none"/>
                <w:lang w:val="en-US" w:eastAsia="zh-CN"/>
              </w:rPr>
              <w:t>LPS、α-羟丁酸、血酮体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auto"/>
                <w:sz w:val="24"/>
                <w:szCs w:val="24"/>
                <w:u w:val="none"/>
                <w:lang w:val="en-US" w:eastAsia="zh-CN"/>
              </w:rPr>
              <w:t>检验科</w:t>
            </w:r>
            <w:r>
              <w:rPr>
                <w:rFonts w:hint="eastAsia" w:ascii="宋体" w:hAnsi="宋体" w:eastAsia="宋体" w:cs="宋体"/>
                <w:b w:val="0"/>
                <w:bCs w:val="0"/>
                <w:sz w:val="24"/>
                <w:szCs w:val="24"/>
                <w:lang w:eastAsia="zh-CN"/>
              </w:rPr>
              <w:t>发光试剂</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甲状腺相关项目（FT3、FT4、T3、T4、TSH、A-TG、A-TPO、A-TSHR、TG）、性激素（β-HCG、LH、FSH、PROG、睾酮、E2、泌乳素等）、贫血指标（铁蛋白、叶酸、维生素B12）、肿瘤标志物（AFP、CEA、CA125、CA199、CA153、CA724、SCC、NSE、CYFRA211、TPSA、FPSA）、糖尿病检测（胰岛素、C肽等）、乙肝两对半、HIV、梅毒、丙肝、心梗三项（CK-MB、MYO、肌钙蛋白）、白介素、PCT、NT</w:t>
            </w:r>
            <w:r>
              <w:rPr>
                <w:rFonts w:hint="eastAsia" w:ascii="宋体" w:hAnsi="宋体" w:eastAsia="宋体" w:cs="宋体"/>
                <w:b w:val="0"/>
                <w:bCs w:val="0"/>
                <w:sz w:val="24"/>
                <w:szCs w:val="24"/>
              </w:rPr>
              <w:tab/>
            </w:r>
            <w:r>
              <w:rPr>
                <w:rFonts w:hint="eastAsia" w:ascii="宋体" w:hAnsi="宋体" w:eastAsia="宋体" w:cs="宋体"/>
                <w:b w:val="0"/>
                <w:bCs w:val="0"/>
                <w:sz w:val="24"/>
                <w:szCs w:val="24"/>
              </w:rPr>
              <w:t>proBNP或者BNP、PTH</w:t>
            </w:r>
            <w:r>
              <w:rPr>
                <w:rFonts w:hint="eastAsia" w:ascii="宋体" w:hAnsi="宋体" w:eastAsia="宋体" w:cs="宋体"/>
                <w:b w:val="0"/>
                <w:bCs w:val="0"/>
                <w:sz w:val="24"/>
                <w:szCs w:val="24"/>
                <w:lang w:eastAsia="zh-CN"/>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 </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Arial" w:hAnsi="Arial" w:eastAsia="宋体"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开标时谈判文件要求一正</w:t>
      </w:r>
      <w:r>
        <w:rPr>
          <w:rFonts w:hint="eastAsia"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副，密封。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分。所有专家评分中，综合得分最高者为中标人。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报价，生化试剂报价统一一个下浮比例，发光试剂报价统一一个下浮比例（已集采项目，按集采价格报名）。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 17 </w:t>
      </w:r>
      <w:r>
        <w:rPr>
          <w:rFonts w:hint="eastAsia" w:ascii="宋体" w:hAnsi="宋体" w:eastAsia="宋体" w:cs="宋体"/>
          <w:i w:val="0"/>
          <w:iCs w:val="0"/>
          <w:caps w:val="0"/>
          <w:color w:val="auto"/>
          <w:spacing w:val="0"/>
          <w:sz w:val="24"/>
          <w:szCs w:val="24"/>
          <w:shd w:val="clear" w:fill="FFFFFF"/>
        </w:rPr>
        <w:t>日至</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 22 </w:t>
      </w:r>
      <w:r>
        <w:rPr>
          <w:rFonts w:hint="eastAsia" w:ascii="宋体" w:hAnsi="宋体" w:eastAsia="宋体" w:cs="宋体"/>
          <w:i w:val="0"/>
          <w:iCs w:val="0"/>
          <w:caps w:val="0"/>
          <w:color w:val="auto"/>
          <w:spacing w:val="0"/>
          <w:sz w:val="24"/>
          <w:szCs w:val="24"/>
          <w:shd w:val="clear" w:fill="FFFFFF"/>
        </w:rPr>
        <w:t>日 17:00时止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pPr>
        <w:tabs>
          <w:tab w:val="left" w:pos="229"/>
        </w:tabs>
        <w:adjustRightInd w:val="0"/>
        <w:ind w:firstLine="241" w:firstLineChars="100"/>
        <w:rPr>
          <w:rFonts w:ascii="宋体" w:hAnsi="宋体" w:cs="宋体"/>
          <w:b/>
          <w:color w:val="auto"/>
          <w:kern w:val="0"/>
          <w:sz w:val="24"/>
          <w:szCs w:val="24"/>
        </w:rPr>
      </w:pPr>
    </w:p>
    <w:p>
      <w:pPr>
        <w:widowControl/>
        <w:adjustRightInd w:val="0"/>
        <w:jc w:val="left"/>
        <w:rPr>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 xml:space="preserve"> 17 </w:t>
      </w:r>
      <w:r>
        <w:rPr>
          <w:rFonts w:hint="eastAsia" w:ascii="宋体" w:hAnsi="宋体" w:cs="宋体"/>
          <w:b/>
          <w:bCs/>
          <w:color w:val="auto"/>
          <w:sz w:val="24"/>
          <w:szCs w:val="24"/>
        </w:rPr>
        <w:t xml:space="preserve">日     </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both"/>
        <w:rPr>
          <w:rFonts w:ascii="宋体" w:hAnsi="宋体" w:cs="宋体"/>
          <w:b/>
          <w:bCs/>
          <w:color w:val="auto"/>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color w:val="auto"/>
          <w:sz w:val="24"/>
          <w:szCs w:val="24"/>
        </w:rPr>
        <w:t xml:space="preserve">                                           </w:t>
      </w: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本次项目报名价（只接受下浮比例报价）生化、免疫分开报价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5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22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27136C"/>
    <w:rsid w:val="026C4592"/>
    <w:rsid w:val="02963DFC"/>
    <w:rsid w:val="02B22C99"/>
    <w:rsid w:val="03760A36"/>
    <w:rsid w:val="03E31938"/>
    <w:rsid w:val="04214485"/>
    <w:rsid w:val="042D5ACB"/>
    <w:rsid w:val="04342DE5"/>
    <w:rsid w:val="04A80451"/>
    <w:rsid w:val="04FA2D68"/>
    <w:rsid w:val="05484816"/>
    <w:rsid w:val="05E414D8"/>
    <w:rsid w:val="06042F8F"/>
    <w:rsid w:val="06732DD2"/>
    <w:rsid w:val="06B1763E"/>
    <w:rsid w:val="06E67100"/>
    <w:rsid w:val="072E33F4"/>
    <w:rsid w:val="07A31495"/>
    <w:rsid w:val="07D7113E"/>
    <w:rsid w:val="088B7712"/>
    <w:rsid w:val="08AA59B2"/>
    <w:rsid w:val="08B55272"/>
    <w:rsid w:val="08C04B66"/>
    <w:rsid w:val="08FA5CE8"/>
    <w:rsid w:val="09D73678"/>
    <w:rsid w:val="0A8E01DA"/>
    <w:rsid w:val="0AEA1189"/>
    <w:rsid w:val="0D1D3292"/>
    <w:rsid w:val="0DD04666"/>
    <w:rsid w:val="0E124C7E"/>
    <w:rsid w:val="0E2950C1"/>
    <w:rsid w:val="0F0D5446"/>
    <w:rsid w:val="0FA67E1C"/>
    <w:rsid w:val="0FB41A5F"/>
    <w:rsid w:val="10806817"/>
    <w:rsid w:val="11863E28"/>
    <w:rsid w:val="11BB604C"/>
    <w:rsid w:val="11C444E1"/>
    <w:rsid w:val="12887BC1"/>
    <w:rsid w:val="135A76B3"/>
    <w:rsid w:val="13F76DF0"/>
    <w:rsid w:val="14E35709"/>
    <w:rsid w:val="151C7F30"/>
    <w:rsid w:val="15EF0FCE"/>
    <w:rsid w:val="16353C00"/>
    <w:rsid w:val="16B72867"/>
    <w:rsid w:val="17792AAB"/>
    <w:rsid w:val="17BD5C5B"/>
    <w:rsid w:val="187F5606"/>
    <w:rsid w:val="18DE057F"/>
    <w:rsid w:val="18DF7E53"/>
    <w:rsid w:val="1931504F"/>
    <w:rsid w:val="1AA93834"/>
    <w:rsid w:val="1ACB7EC9"/>
    <w:rsid w:val="1AE856E5"/>
    <w:rsid w:val="1B6603B7"/>
    <w:rsid w:val="1B742AD4"/>
    <w:rsid w:val="1BFE2CE6"/>
    <w:rsid w:val="1E3B3D7D"/>
    <w:rsid w:val="1E8045E6"/>
    <w:rsid w:val="1FDD0560"/>
    <w:rsid w:val="20947775"/>
    <w:rsid w:val="20CD6FCB"/>
    <w:rsid w:val="20EF0E4F"/>
    <w:rsid w:val="2173655D"/>
    <w:rsid w:val="21757025"/>
    <w:rsid w:val="21C85169"/>
    <w:rsid w:val="21EB7868"/>
    <w:rsid w:val="226E1867"/>
    <w:rsid w:val="22D447A0"/>
    <w:rsid w:val="2409047A"/>
    <w:rsid w:val="2453247D"/>
    <w:rsid w:val="25166FF2"/>
    <w:rsid w:val="256002C8"/>
    <w:rsid w:val="2580651A"/>
    <w:rsid w:val="25C1725E"/>
    <w:rsid w:val="25F0173F"/>
    <w:rsid w:val="261455E0"/>
    <w:rsid w:val="262241EA"/>
    <w:rsid w:val="26506553"/>
    <w:rsid w:val="266240CD"/>
    <w:rsid w:val="26644CF8"/>
    <w:rsid w:val="268B33C8"/>
    <w:rsid w:val="272C6959"/>
    <w:rsid w:val="27766813"/>
    <w:rsid w:val="2781521D"/>
    <w:rsid w:val="2789416A"/>
    <w:rsid w:val="282D4FFC"/>
    <w:rsid w:val="283C5022"/>
    <w:rsid w:val="28A16ED3"/>
    <w:rsid w:val="28CD7CC8"/>
    <w:rsid w:val="29146FF1"/>
    <w:rsid w:val="291E0523"/>
    <w:rsid w:val="295A0D21"/>
    <w:rsid w:val="295E31DA"/>
    <w:rsid w:val="29F11957"/>
    <w:rsid w:val="2A2E6A0E"/>
    <w:rsid w:val="2AAE58D7"/>
    <w:rsid w:val="2AC17053"/>
    <w:rsid w:val="2B1E480B"/>
    <w:rsid w:val="2B655410"/>
    <w:rsid w:val="2BAC6A32"/>
    <w:rsid w:val="2BE258E9"/>
    <w:rsid w:val="2CB573F1"/>
    <w:rsid w:val="2E756E38"/>
    <w:rsid w:val="2EAA5ACA"/>
    <w:rsid w:val="2EDF69A7"/>
    <w:rsid w:val="2F3838CC"/>
    <w:rsid w:val="2F5B28C9"/>
    <w:rsid w:val="2F77098D"/>
    <w:rsid w:val="30E262DA"/>
    <w:rsid w:val="30E87D95"/>
    <w:rsid w:val="324A73AD"/>
    <w:rsid w:val="32870EE7"/>
    <w:rsid w:val="32FD7C0C"/>
    <w:rsid w:val="33192C4B"/>
    <w:rsid w:val="33323549"/>
    <w:rsid w:val="3370246B"/>
    <w:rsid w:val="346B732D"/>
    <w:rsid w:val="35047349"/>
    <w:rsid w:val="35281681"/>
    <w:rsid w:val="35656898"/>
    <w:rsid w:val="364517E5"/>
    <w:rsid w:val="3699443D"/>
    <w:rsid w:val="36E70D89"/>
    <w:rsid w:val="3700570C"/>
    <w:rsid w:val="3757620D"/>
    <w:rsid w:val="37B74E56"/>
    <w:rsid w:val="37DF5322"/>
    <w:rsid w:val="386A3D5A"/>
    <w:rsid w:val="386C12AB"/>
    <w:rsid w:val="388859B9"/>
    <w:rsid w:val="38CA4224"/>
    <w:rsid w:val="38FD1C63"/>
    <w:rsid w:val="390E64C0"/>
    <w:rsid w:val="39B61056"/>
    <w:rsid w:val="3A801003"/>
    <w:rsid w:val="3ADD7E34"/>
    <w:rsid w:val="3C072B5C"/>
    <w:rsid w:val="3C4564D3"/>
    <w:rsid w:val="3C6A368A"/>
    <w:rsid w:val="3C9F7A4A"/>
    <w:rsid w:val="3CAF42BA"/>
    <w:rsid w:val="3CBC7006"/>
    <w:rsid w:val="3CE4098F"/>
    <w:rsid w:val="3D363C36"/>
    <w:rsid w:val="3DEA5163"/>
    <w:rsid w:val="3E612F34"/>
    <w:rsid w:val="3E8B6203"/>
    <w:rsid w:val="3ED96F6F"/>
    <w:rsid w:val="3F2C3542"/>
    <w:rsid w:val="40534AFF"/>
    <w:rsid w:val="406E1579"/>
    <w:rsid w:val="40743CB3"/>
    <w:rsid w:val="40CA2FAF"/>
    <w:rsid w:val="410D2F00"/>
    <w:rsid w:val="41E77BF5"/>
    <w:rsid w:val="41FD11C6"/>
    <w:rsid w:val="420D1477"/>
    <w:rsid w:val="422624CB"/>
    <w:rsid w:val="42CC314D"/>
    <w:rsid w:val="42F419B6"/>
    <w:rsid w:val="43532373"/>
    <w:rsid w:val="443B46BF"/>
    <w:rsid w:val="4475773A"/>
    <w:rsid w:val="456A4104"/>
    <w:rsid w:val="45A858ED"/>
    <w:rsid w:val="45E87A97"/>
    <w:rsid w:val="466A47F7"/>
    <w:rsid w:val="467E7FA2"/>
    <w:rsid w:val="468D3EDC"/>
    <w:rsid w:val="48126F50"/>
    <w:rsid w:val="48253225"/>
    <w:rsid w:val="485F4ABD"/>
    <w:rsid w:val="486C49B0"/>
    <w:rsid w:val="4A9C6EBF"/>
    <w:rsid w:val="4ACC7DBB"/>
    <w:rsid w:val="4AFF5FAF"/>
    <w:rsid w:val="4B817F88"/>
    <w:rsid w:val="4BA608E8"/>
    <w:rsid w:val="4BC10A69"/>
    <w:rsid w:val="4BCB0F4B"/>
    <w:rsid w:val="4BF076A6"/>
    <w:rsid w:val="4C8C73CE"/>
    <w:rsid w:val="4CEC28DA"/>
    <w:rsid w:val="4CFE5DF2"/>
    <w:rsid w:val="4D007DBC"/>
    <w:rsid w:val="4D3A1520"/>
    <w:rsid w:val="4DA22C22"/>
    <w:rsid w:val="4E5F4729"/>
    <w:rsid w:val="4EE9189F"/>
    <w:rsid w:val="4F4C1097"/>
    <w:rsid w:val="4FA65C1D"/>
    <w:rsid w:val="501C0736"/>
    <w:rsid w:val="50630D8E"/>
    <w:rsid w:val="51E97071"/>
    <w:rsid w:val="520B3C6B"/>
    <w:rsid w:val="52426C5E"/>
    <w:rsid w:val="53EE4E13"/>
    <w:rsid w:val="54FA7A9E"/>
    <w:rsid w:val="55256273"/>
    <w:rsid w:val="55535184"/>
    <w:rsid w:val="5558730C"/>
    <w:rsid w:val="55983288"/>
    <w:rsid w:val="55CF5DA5"/>
    <w:rsid w:val="56215B1D"/>
    <w:rsid w:val="568331A4"/>
    <w:rsid w:val="56C65BD3"/>
    <w:rsid w:val="56CB4CE1"/>
    <w:rsid w:val="56D26326"/>
    <w:rsid w:val="56D4209E"/>
    <w:rsid w:val="5875340D"/>
    <w:rsid w:val="594F0101"/>
    <w:rsid w:val="59BC506B"/>
    <w:rsid w:val="59E56370"/>
    <w:rsid w:val="59E7658C"/>
    <w:rsid w:val="5A724A11"/>
    <w:rsid w:val="5A8E2EAB"/>
    <w:rsid w:val="5A9949BD"/>
    <w:rsid w:val="5AD05272"/>
    <w:rsid w:val="5ADE5A0B"/>
    <w:rsid w:val="5B555777"/>
    <w:rsid w:val="5B953DC6"/>
    <w:rsid w:val="5BF46D3E"/>
    <w:rsid w:val="5C164F06"/>
    <w:rsid w:val="5D2D075A"/>
    <w:rsid w:val="5D645056"/>
    <w:rsid w:val="5DCF7A63"/>
    <w:rsid w:val="5E0744EC"/>
    <w:rsid w:val="5E146A5A"/>
    <w:rsid w:val="60235E44"/>
    <w:rsid w:val="60471B32"/>
    <w:rsid w:val="60DE4A28"/>
    <w:rsid w:val="60F35085"/>
    <w:rsid w:val="620E3DBB"/>
    <w:rsid w:val="62B114E5"/>
    <w:rsid w:val="631F22F8"/>
    <w:rsid w:val="634821C8"/>
    <w:rsid w:val="63526405"/>
    <w:rsid w:val="63BB49CD"/>
    <w:rsid w:val="640F6E0B"/>
    <w:rsid w:val="646003B3"/>
    <w:rsid w:val="64964A96"/>
    <w:rsid w:val="64FB2EEB"/>
    <w:rsid w:val="654900FB"/>
    <w:rsid w:val="65571728"/>
    <w:rsid w:val="6560706A"/>
    <w:rsid w:val="65654544"/>
    <w:rsid w:val="65AB2B63"/>
    <w:rsid w:val="65BD4645"/>
    <w:rsid w:val="65E25E59"/>
    <w:rsid w:val="669F0762"/>
    <w:rsid w:val="66B9305E"/>
    <w:rsid w:val="66D439F4"/>
    <w:rsid w:val="66F253BE"/>
    <w:rsid w:val="671A51EF"/>
    <w:rsid w:val="683F5106"/>
    <w:rsid w:val="68776D2D"/>
    <w:rsid w:val="68B93350"/>
    <w:rsid w:val="6A246A40"/>
    <w:rsid w:val="6A2D7FEB"/>
    <w:rsid w:val="6AF40B09"/>
    <w:rsid w:val="6B0E4AAC"/>
    <w:rsid w:val="6B9B51DC"/>
    <w:rsid w:val="6BBC4BAC"/>
    <w:rsid w:val="6BEA5A68"/>
    <w:rsid w:val="6DB17DC0"/>
    <w:rsid w:val="6DB427D1"/>
    <w:rsid w:val="6E056B89"/>
    <w:rsid w:val="6EDC3D8E"/>
    <w:rsid w:val="6EDC5B3C"/>
    <w:rsid w:val="6F743FC6"/>
    <w:rsid w:val="6FBE7A30"/>
    <w:rsid w:val="6FF42A24"/>
    <w:rsid w:val="70582F59"/>
    <w:rsid w:val="70E04929"/>
    <w:rsid w:val="7190494A"/>
    <w:rsid w:val="72444124"/>
    <w:rsid w:val="72A8634B"/>
    <w:rsid w:val="730E04B9"/>
    <w:rsid w:val="731B11E1"/>
    <w:rsid w:val="735B1DDE"/>
    <w:rsid w:val="739449FB"/>
    <w:rsid w:val="74085576"/>
    <w:rsid w:val="74982505"/>
    <w:rsid w:val="74C2787E"/>
    <w:rsid w:val="753348CC"/>
    <w:rsid w:val="75475CD9"/>
    <w:rsid w:val="7561323F"/>
    <w:rsid w:val="760065B4"/>
    <w:rsid w:val="768371E5"/>
    <w:rsid w:val="76BF4F23"/>
    <w:rsid w:val="77003BA5"/>
    <w:rsid w:val="77042905"/>
    <w:rsid w:val="78197E01"/>
    <w:rsid w:val="781E1C75"/>
    <w:rsid w:val="78640611"/>
    <w:rsid w:val="78F97604"/>
    <w:rsid w:val="78FC4F0A"/>
    <w:rsid w:val="79246A5D"/>
    <w:rsid w:val="7A0304D2"/>
    <w:rsid w:val="7A251B8D"/>
    <w:rsid w:val="7AB05DB1"/>
    <w:rsid w:val="7AB66680"/>
    <w:rsid w:val="7B5A3ACE"/>
    <w:rsid w:val="7B8D6968"/>
    <w:rsid w:val="7C52568F"/>
    <w:rsid w:val="7DA568A7"/>
    <w:rsid w:val="7EA06B86"/>
    <w:rsid w:val="7EAD1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530</Words>
  <Characters>3022</Characters>
  <Lines>25</Lines>
  <Paragraphs>7</Paragraphs>
  <TotalTime>6</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2024-04-22T00:42:00Z</cp:lastPrinted>
  <dcterms:modified xsi:type="dcterms:W3CDTF">2024-05-17T07:02:40Z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C3BFD510430E4E98B5A8098D7D76F3AB_13</vt:lpwstr>
  </property>
  <property fmtid="{D5CDD505-2E9C-101B-9397-08002B2CF9AE}" pid="4" name="commondata">
    <vt:lpwstr>eyJoZGlkIjoiYTQ0ZWM0MDkxZGVlMDc2MGI3OTc3NGE1ZGI1ZGU5OTkifQ==</vt:lpwstr>
  </property>
</Properties>
</file>