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5531">
      <w:pPr>
        <w:jc w:val="center"/>
        <w:rPr>
          <w:rFonts w:ascii="宋体" w:hAnsi="宋体" w:cs="宋体"/>
          <w:b/>
          <w:bCs/>
          <w:color w:val="auto"/>
          <w:kern w:val="0"/>
          <w:sz w:val="24"/>
          <w:szCs w:val="24"/>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检验科试剂医用耗材</w:t>
      </w:r>
      <w:r>
        <w:rPr>
          <w:rFonts w:hint="eastAsia" w:ascii="宋体" w:hAnsi="宋体" w:cs="宋体"/>
          <w:b/>
          <w:bCs/>
          <w:color w:val="auto"/>
          <w:kern w:val="0"/>
          <w:sz w:val="32"/>
          <w:szCs w:val="32"/>
        </w:rPr>
        <w:t>意向招标公告</w:t>
      </w:r>
    </w:p>
    <w:p w14:paraId="101D80F5">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rPr>
        <w:t>依据我院医疗临床需要，拟对下列医用耗材</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化学试剂）</w:t>
      </w:r>
      <w:r>
        <w:rPr>
          <w:rFonts w:hint="eastAsia" w:ascii="宋体" w:hAnsi="宋体" w:cs="宋体"/>
          <w:color w:val="auto"/>
          <w:kern w:val="0"/>
          <w:sz w:val="24"/>
          <w:szCs w:val="24"/>
        </w:rPr>
        <w:t>进行院内</w:t>
      </w:r>
      <w:r>
        <w:rPr>
          <w:rFonts w:hint="eastAsia" w:ascii="宋体" w:hAnsi="宋体" w:cs="宋体"/>
          <w:bCs/>
          <w:color w:val="auto"/>
          <w:kern w:val="0"/>
          <w:sz w:val="24"/>
          <w:szCs w:val="24"/>
        </w:rPr>
        <w:t>采购，请有意参加本单位招标的供应商携带相关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14:paraId="7142E75C">
      <w:pPr>
        <w:widowControl/>
        <w:adjustRightInd w:val="0"/>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投标文件必须密封，否则作无效响应处理。</w:t>
      </w:r>
    </w:p>
    <w:p w14:paraId="0D31C07E">
      <w:pPr>
        <w:widowControl/>
        <w:numPr>
          <w:ilvl w:val="0"/>
          <w:numId w:val="1"/>
        </w:numPr>
        <w:adjustRightInd w:val="0"/>
        <w:rPr>
          <w:rFonts w:hint="eastAsia" w:ascii="宋体" w:hAnsi="宋体" w:cs="宋体"/>
          <w:b/>
          <w:color w:val="auto"/>
          <w:kern w:val="0"/>
          <w:sz w:val="24"/>
          <w:szCs w:val="24"/>
        </w:rPr>
      </w:pPr>
      <w:r>
        <w:rPr>
          <w:rFonts w:hint="eastAsia" w:ascii="宋体" w:hAnsi="宋体" w:cs="宋体"/>
          <w:b/>
          <w:color w:val="auto"/>
          <w:kern w:val="0"/>
          <w:sz w:val="24"/>
          <w:szCs w:val="24"/>
        </w:rPr>
        <w:t>采购项目内容：</w:t>
      </w:r>
    </w:p>
    <w:tbl>
      <w:tblPr>
        <w:tblStyle w:val="6"/>
        <w:tblpPr w:leftFromText="180" w:rightFromText="180" w:vertAnchor="text" w:horzAnchor="page" w:tblpX="1803" w:tblpY="364"/>
        <w:tblOverlap w:val="neve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34"/>
        <w:gridCol w:w="6416"/>
      </w:tblGrid>
      <w:tr w14:paraId="56FD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8" w:space="0"/>
              <w:left w:val="single" w:color="000000" w:sz="8" w:space="0"/>
              <w:bottom w:val="nil"/>
              <w:right w:val="single" w:color="000000" w:sz="8" w:space="0"/>
            </w:tcBorders>
            <w:shd w:val="clear" w:color="auto" w:fill="auto"/>
            <w:noWrap/>
            <w:vAlign w:val="center"/>
          </w:tcPr>
          <w:p w14:paraId="63CDF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34" w:type="dxa"/>
            <w:tcBorders>
              <w:top w:val="single" w:color="000000" w:sz="8" w:space="0"/>
              <w:left w:val="nil"/>
              <w:bottom w:val="nil"/>
              <w:right w:val="single" w:color="000000" w:sz="8" w:space="0"/>
            </w:tcBorders>
            <w:shd w:val="clear" w:color="auto" w:fill="auto"/>
            <w:vAlign w:val="center"/>
          </w:tcPr>
          <w:p w14:paraId="5CDD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6416" w:type="dxa"/>
            <w:tcBorders>
              <w:top w:val="single" w:color="000000" w:sz="8" w:space="0"/>
              <w:left w:val="nil"/>
              <w:bottom w:val="nil"/>
              <w:right w:val="single" w:color="000000" w:sz="8" w:space="0"/>
            </w:tcBorders>
            <w:shd w:val="clear" w:color="auto" w:fill="auto"/>
            <w:noWrap/>
            <w:vAlign w:val="center"/>
          </w:tcPr>
          <w:p w14:paraId="65C03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r>
      <w:tr w14:paraId="0C30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2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7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7A35">
            <w:pPr>
              <w:keepNext w:val="0"/>
              <w:keepLines w:val="0"/>
              <w:widowControl/>
              <w:suppressLineNumbers w:val="0"/>
              <w:jc w:val="center"/>
              <w:textAlignment w:val="center"/>
              <w:rPr>
                <w:rFonts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血栓弹力图试验（TEG）</w:t>
            </w:r>
          </w:p>
        </w:tc>
      </w:tr>
      <w:tr w14:paraId="42E4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6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6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4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降钙素测定、血清骨钙素测定、25 羟维生素D测定</w:t>
            </w:r>
          </w:p>
        </w:tc>
      </w:tr>
      <w:tr w14:paraId="7959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5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B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A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C-反应蛋白测定（CRP）</w:t>
            </w:r>
          </w:p>
        </w:tc>
      </w:tr>
      <w:tr w14:paraId="53F3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B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5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4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病原微生物mNGS DNA检测、病原微生物mNGS RNA检测、病原微生物tNGS检测、肿瘤多基因检测</w:t>
            </w:r>
          </w:p>
        </w:tc>
      </w:tr>
      <w:tr w14:paraId="66EF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0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9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5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巨细胞病毒IgG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巨细胞病毒IgM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风疹病毒IgG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风疹病毒IgM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弓形虫IgG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弓形虫IgM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单纯疱疹病毒Ⅰ型IgG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单纯疱疹病毒Ⅱ型IgG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单纯疱疹病毒Ⅰ型IgM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单纯疱疹病毒Ⅱ型IgM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抗卵巢IgG抗体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抗滋养层细胞IgG抗体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抗透明带IgG抗体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抗子宫内膜IgG抗体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抗精子IgG抗体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EB 病毒核心抗原 IgG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EB 病毒核心抗原 IgA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EB 病毒衣壳抗原 IgG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EB 病毒衣壳抗原 IgM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EB 病毒衣壳抗原 IgA 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EB病毒早期抗原IgM</w:t>
            </w:r>
          </w:p>
        </w:tc>
      </w:tr>
      <w:tr w14:paraId="0BEE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7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6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7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抗Sm抗体IgG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抗SS-A抗体IgG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抗SS-B抗体IgG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抗Jo-1抗体IgG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抗Scl-70抗体IgG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抗着丝点抗体IgG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抗核糖体P蛋白抗体IgG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抗U1-snRNP抗体（U1-snRNP）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抗核小体抗体IgG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抗组蛋白抗体IgG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抗PM-Scl抗体IgG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抗增殖细胞核抗原IgG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抗线粒体抗体M2型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抗gp210抗体（gp210）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抗Sp100 IgG抗体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抗可溶性肝抗原-肝胰抗原抗体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抗肝肾微粒体抗体（LKM-1）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抗肝细胞溶质抗原抗体（LC-1）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抗TIF1γ抗体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抗PL-12抗体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抗EJ抗体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抗MDA5抗体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抗SRP抗体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抗Mi-2抗体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抗SAE1抗体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抗HMGCR抗体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抗OJ抗体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抗Ku抗体</w:t>
            </w:r>
          </w:p>
        </w:tc>
      </w:tr>
      <w:tr w14:paraId="1961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B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9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3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钠、钾、氯测定（离子选择电解法）</w:t>
            </w:r>
          </w:p>
        </w:tc>
      </w:tr>
      <w:tr w14:paraId="243B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2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6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8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尿液分析、尿沉渣定量</w:t>
            </w:r>
          </w:p>
        </w:tc>
      </w:tr>
      <w:tr w14:paraId="0ECA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4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B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3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血培养（需氧）、血培养（厌氧）</w:t>
            </w:r>
          </w:p>
        </w:tc>
      </w:tr>
      <w:tr w14:paraId="0A34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9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D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7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常规药敏定量实验（MIC）</w:t>
            </w:r>
          </w:p>
        </w:tc>
      </w:tr>
      <w:tr w14:paraId="2004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D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9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结核感染T细胞检测（免疫斑点法）</w:t>
            </w:r>
          </w:p>
        </w:tc>
      </w:tr>
      <w:tr w14:paraId="782B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C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1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F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甲型/乙型流感病毒核酸检测</w:t>
            </w:r>
          </w:p>
        </w:tc>
      </w:tr>
      <w:tr w14:paraId="4FBF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9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5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D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腺病毒核酸检测</w:t>
            </w:r>
          </w:p>
        </w:tc>
      </w:tr>
      <w:tr w14:paraId="3EE9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D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D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E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鼻病毒核酸检测</w:t>
            </w:r>
          </w:p>
        </w:tc>
      </w:tr>
      <w:tr w14:paraId="2959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9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8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A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博卡病毒核酸检测</w:t>
            </w:r>
          </w:p>
        </w:tc>
      </w:tr>
      <w:tr w14:paraId="5C0C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E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4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D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偏肺病毒核酸检测</w:t>
            </w:r>
          </w:p>
        </w:tc>
      </w:tr>
      <w:tr w14:paraId="3E02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1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7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1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呼吸道合胞病毒A 型和B 型核酸检测</w:t>
            </w:r>
          </w:p>
        </w:tc>
      </w:tr>
      <w:tr w14:paraId="0296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1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6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D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百日咳杆菌核酸检测</w:t>
            </w:r>
          </w:p>
        </w:tc>
      </w:tr>
      <w:tr w14:paraId="70F6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1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E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8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肺炎衣原体核酸检测</w:t>
            </w:r>
          </w:p>
        </w:tc>
      </w:tr>
      <w:tr w14:paraId="648C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C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1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9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季节性流感病毒H1亚型核酸检测</w:t>
            </w:r>
          </w:p>
        </w:tc>
      </w:tr>
      <w:tr w14:paraId="6F2A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5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2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8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季节性流感病毒H3亚型核酸检测</w:t>
            </w:r>
          </w:p>
        </w:tc>
      </w:tr>
      <w:tr w14:paraId="3ACF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F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6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2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副流感病毒1型核酸检测</w:t>
            </w:r>
          </w:p>
        </w:tc>
      </w:tr>
      <w:tr w14:paraId="79DE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2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1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B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副流感病毒3型核酸检测</w:t>
            </w:r>
          </w:p>
        </w:tc>
      </w:tr>
      <w:tr w14:paraId="783B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9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C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4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ALDH2基因检测（指导硝酸甘油用药）</w:t>
            </w:r>
          </w:p>
        </w:tc>
      </w:tr>
      <w:tr w14:paraId="12AE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E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C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F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SLCO1B1基因检测（指导他汀类药物用药）</w:t>
            </w:r>
          </w:p>
        </w:tc>
      </w:tr>
      <w:tr w14:paraId="220A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8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C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2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MTHFR基因多态性检测（叶酸代谢能力检测）</w:t>
            </w:r>
          </w:p>
        </w:tc>
      </w:tr>
      <w:tr w14:paraId="571B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8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0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4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CYP3A5基因检测 （他克莫司药物代谢基因）</w:t>
            </w:r>
          </w:p>
        </w:tc>
      </w:tr>
      <w:tr w14:paraId="2B656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B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6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F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CYP2D6 基因检测（药物代谢酶的基因检测）</w:t>
            </w:r>
          </w:p>
        </w:tc>
      </w:tr>
      <w:tr w14:paraId="27F9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0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5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7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APOE基因检测（指导他汀类药物用药）</w:t>
            </w:r>
          </w:p>
        </w:tc>
      </w:tr>
      <w:tr w14:paraId="1381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0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6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5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CYP2C19 基因检测（指导氯吡格雷等用药）</w:t>
            </w:r>
          </w:p>
        </w:tc>
      </w:tr>
      <w:tr w14:paraId="7815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9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2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8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VKORC1和CYP2C9基因检测</w:t>
            </w:r>
          </w:p>
        </w:tc>
      </w:tr>
      <w:tr w14:paraId="08A8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3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9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C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人类白细胞抗原B27核酸检测</w:t>
            </w:r>
          </w:p>
        </w:tc>
      </w:tr>
      <w:tr w14:paraId="64893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7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F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1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WT1 mRNA测定（血液疾病检测）</w:t>
            </w:r>
          </w:p>
        </w:tc>
      </w:tr>
      <w:tr w14:paraId="4A5E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B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4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2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白血病相关15种融合基因检测（血液疾病检测）</w:t>
            </w:r>
          </w:p>
        </w:tc>
      </w:tr>
      <w:tr w14:paraId="44BA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B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C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7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乙型肝炎病毒核酸测定（高敏）</w:t>
            </w:r>
          </w:p>
        </w:tc>
      </w:tr>
      <w:tr w14:paraId="4CAEE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4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5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3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乙型肝炎病毒核酸测定（超高敏）</w:t>
            </w:r>
          </w:p>
        </w:tc>
      </w:tr>
      <w:tr w14:paraId="5C9D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E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3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3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丙型肝炎病毒核酸检测（高敏）</w:t>
            </w:r>
          </w:p>
        </w:tc>
      </w:tr>
      <w:tr w14:paraId="6297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D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6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B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丙型肝炎病毒核酸检测（超高敏）</w:t>
            </w:r>
          </w:p>
        </w:tc>
      </w:tr>
      <w:tr w14:paraId="27578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9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8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9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人类免疫缺陷病毒1型（HIV-1）核酸检测（超高敏）</w:t>
            </w:r>
          </w:p>
        </w:tc>
      </w:tr>
      <w:tr w14:paraId="34AD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A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3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5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乙型肝炎病毒基因分型检测</w:t>
            </w:r>
          </w:p>
        </w:tc>
      </w:tr>
      <w:tr w14:paraId="32DB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5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D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E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丙型肝炎病毒基因分型检测</w:t>
            </w:r>
          </w:p>
        </w:tc>
      </w:tr>
      <w:tr w14:paraId="72CE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C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4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F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乙型肝炎病毒耐药基因突变检测</w:t>
            </w:r>
          </w:p>
        </w:tc>
      </w:tr>
      <w:tr w14:paraId="4444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3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8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E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人类免疫缺陷病毒1型（HIV-1）耐药基因型检测</w:t>
            </w:r>
          </w:p>
        </w:tc>
      </w:tr>
    </w:tbl>
    <w:p w14:paraId="565FD3F9">
      <w:pPr>
        <w:widowControl/>
        <w:numPr>
          <w:ilvl w:val="0"/>
          <w:numId w:val="0"/>
        </w:numPr>
        <w:adjustRightInd w:val="0"/>
        <w:rPr>
          <w:rFonts w:hint="eastAsia" w:ascii="宋体" w:hAnsi="宋体" w:cs="宋体"/>
          <w:b/>
          <w:color w:val="auto"/>
          <w:kern w:val="0"/>
          <w:sz w:val="24"/>
          <w:szCs w:val="24"/>
        </w:rPr>
      </w:pPr>
    </w:p>
    <w:p w14:paraId="451EA0C2">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报名需提供的相关材料</w:t>
      </w:r>
      <w:r>
        <w:rPr>
          <w:rStyle w:val="9"/>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9"/>
          <w:rFonts w:hint="eastAsia" w:ascii="宋体" w:hAnsi="宋体" w:eastAsia="宋体" w:cs="宋体"/>
          <w:b/>
          <w:bCs/>
          <w:i w:val="0"/>
          <w:iCs w:val="0"/>
          <w:caps w:val="0"/>
          <w:color w:val="auto"/>
          <w:spacing w:val="0"/>
          <w:sz w:val="24"/>
          <w:szCs w:val="24"/>
          <w:shd w:val="clear" w:fill="FFFFFF"/>
        </w:rPr>
        <w:t>：</w:t>
      </w:r>
    </w:p>
    <w:p w14:paraId="6DD6F7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，附表一（报价表）</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14:paraId="3FA981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14:paraId="485D1F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14:paraId="3C87A6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6BC5E0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14:paraId="4ED523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14:paraId="3C2DE9B9">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报名审核通过的供应商</w:t>
      </w:r>
      <w:r>
        <w:rPr>
          <w:rFonts w:hint="eastAsia" w:cs="宋体"/>
          <w:i w:val="0"/>
          <w:iCs w:val="0"/>
          <w:caps w:val="0"/>
          <w:color w:val="auto"/>
          <w:spacing w:val="0"/>
          <w:sz w:val="24"/>
          <w:szCs w:val="24"/>
          <w:shd w:val="clear" w:fill="FFFFFF"/>
          <w:lang w:val="en-US" w:eastAsia="zh-CN"/>
        </w:rPr>
        <w:t>将会电话通知</w:t>
      </w:r>
      <w:r>
        <w:rPr>
          <w:rFonts w:hint="eastAsia" w:ascii="宋体" w:hAnsi="宋体" w:eastAsia="宋体" w:cs="宋体"/>
          <w:i w:val="0"/>
          <w:iCs w:val="0"/>
          <w:caps w:val="0"/>
          <w:color w:val="auto"/>
          <w:spacing w:val="0"/>
          <w:sz w:val="24"/>
          <w:szCs w:val="24"/>
          <w:shd w:val="clear" w:fill="FFFFFF"/>
        </w:rPr>
        <w:t>开标</w:t>
      </w:r>
      <w:r>
        <w:rPr>
          <w:rFonts w:hint="eastAsia" w:cs="宋体"/>
          <w:i w:val="0"/>
          <w:iCs w:val="0"/>
          <w:caps w:val="0"/>
          <w:color w:val="auto"/>
          <w:spacing w:val="0"/>
          <w:sz w:val="24"/>
          <w:szCs w:val="24"/>
          <w:shd w:val="clear" w:fill="FFFFFF"/>
          <w:lang w:val="en-US" w:eastAsia="zh-CN"/>
        </w:rPr>
        <w:t>时间。</w:t>
      </w:r>
    </w:p>
    <w:p w14:paraId="0366AFD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466686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FF0000"/>
          <w:spacing w:val="0"/>
          <w:sz w:val="24"/>
          <w:szCs w:val="24"/>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p>
    <w:p w14:paraId="42E99CD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383060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4.开标时需提供的相关材料：</w:t>
      </w:r>
    </w:p>
    <w:p w14:paraId="3DDA02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14:paraId="6D728A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（2）产品的介绍、产品的参数、产品彩页、产品的配置一览表加盖单位公章</w:t>
      </w:r>
    </w:p>
    <w:p w14:paraId="579BBC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（3）该产品用户名单加盖单位公章；</w:t>
      </w:r>
    </w:p>
    <w:p w14:paraId="4E0125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（4）该产品售后维修网点联系方式及售后维修承诺；</w:t>
      </w:r>
    </w:p>
    <w:p w14:paraId="68D2DC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4C38EF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eastAsia" w:ascii="宋体" w:hAnsi="宋体" w:eastAsia="宋体" w:cs="宋体"/>
          <w:b/>
          <w:bCs/>
          <w:i w:val="0"/>
          <w:iCs w:val="0"/>
          <w:caps w:val="0"/>
          <w:color w:val="FF0000"/>
          <w:spacing w:val="0"/>
          <w:sz w:val="24"/>
          <w:szCs w:val="24"/>
          <w:shd w:val="clear" w:fill="FFFFFF"/>
        </w:rPr>
      </w:pPr>
    </w:p>
    <w:p w14:paraId="163C48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三</w:t>
      </w:r>
      <w:r>
        <w:rPr>
          <w:rFonts w:hint="eastAsia" w:ascii="宋体" w:hAnsi="宋体" w:eastAsia="宋体" w:cs="宋体"/>
          <w:b/>
          <w:bCs/>
          <w:i w:val="0"/>
          <w:iCs w:val="0"/>
          <w:caps w:val="0"/>
          <w:color w:val="FF0000"/>
          <w:spacing w:val="0"/>
          <w:sz w:val="24"/>
          <w:szCs w:val="24"/>
          <w:shd w:val="clear" w:fill="FFFFFF"/>
        </w:rPr>
        <w:t>副，密封。</w:t>
      </w:r>
    </w:p>
    <w:p w14:paraId="587903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  </w:t>
      </w:r>
    </w:p>
    <w:p w14:paraId="7B2DDE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5.评标方法</w:t>
      </w:r>
    </w:p>
    <w:p w14:paraId="4E222E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ascii="Calibri" w:hAnsi="Calibri" w:eastAsia="宋体"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w:t>
      </w:r>
      <w:r>
        <w:rPr>
          <w:rFonts w:hint="eastAsia" w:cs="宋体"/>
          <w:i w:val="0"/>
          <w:iCs w:val="0"/>
          <w:caps w:val="0"/>
          <w:color w:val="auto"/>
          <w:spacing w:val="0"/>
          <w:sz w:val="24"/>
          <w:szCs w:val="24"/>
          <w:shd w:val="clear" w:fill="FFFFFF"/>
          <w:lang w:val="en-US" w:eastAsia="zh-CN"/>
        </w:rPr>
        <w:t>前三名报医院办公会讨论确定</w:t>
      </w:r>
      <w:r>
        <w:rPr>
          <w:rFonts w:hint="eastAsia" w:ascii="宋体" w:hAnsi="宋体" w:eastAsia="宋体" w:cs="宋体"/>
          <w:i w:val="0"/>
          <w:iCs w:val="0"/>
          <w:caps w:val="0"/>
          <w:color w:val="auto"/>
          <w:spacing w:val="0"/>
          <w:sz w:val="24"/>
          <w:szCs w:val="24"/>
          <w:shd w:val="clear" w:fill="FFFFFF"/>
        </w:rPr>
        <w:t>。</w:t>
      </w:r>
    </w:p>
    <w:p w14:paraId="4ADCE7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注意事项：</w:t>
      </w:r>
    </w:p>
    <w:p w14:paraId="18AD1B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报价均以产品</w:t>
      </w:r>
      <w:r>
        <w:rPr>
          <w:rFonts w:hint="eastAsia" w:cs="宋体"/>
          <w:b/>
          <w:bCs/>
          <w:i w:val="0"/>
          <w:iCs w:val="0"/>
          <w:caps w:val="0"/>
          <w:color w:val="auto"/>
          <w:spacing w:val="0"/>
          <w:sz w:val="24"/>
          <w:szCs w:val="24"/>
          <w:shd w:val="clear" w:fill="FFFFFF"/>
          <w:lang w:val="en-US" w:eastAsia="zh-CN"/>
        </w:rPr>
        <w:t>项目收费标准的下浮比例</w:t>
      </w:r>
      <w:r>
        <w:rPr>
          <w:rFonts w:hint="eastAsia" w:ascii="宋体" w:hAnsi="宋体" w:eastAsia="宋体" w:cs="宋体"/>
          <w:b/>
          <w:bCs/>
          <w:i w:val="0"/>
          <w:iCs w:val="0"/>
          <w:caps w:val="0"/>
          <w:color w:val="auto"/>
          <w:spacing w:val="0"/>
          <w:sz w:val="24"/>
          <w:szCs w:val="24"/>
          <w:shd w:val="clear" w:fill="FFFFFF"/>
        </w:rPr>
        <w:t>为</w:t>
      </w:r>
      <w:r>
        <w:rPr>
          <w:rFonts w:hint="eastAsia" w:cs="宋体"/>
          <w:b/>
          <w:bCs/>
          <w:i w:val="0"/>
          <w:iCs w:val="0"/>
          <w:caps w:val="0"/>
          <w:color w:val="auto"/>
          <w:spacing w:val="0"/>
          <w:sz w:val="24"/>
          <w:szCs w:val="24"/>
          <w:shd w:val="clear" w:fill="FFFFFF"/>
          <w:lang w:val="en-US" w:eastAsia="zh-CN"/>
        </w:rPr>
        <w:t>报价，每项单独报价，每个项目若包含多项试剂只接受统一下浮比例，</w:t>
      </w:r>
    </w:p>
    <w:p w14:paraId="0C6FFD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6.报名时间：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5</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1</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10</w:t>
      </w:r>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1</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16</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报名只需要提供一份资料，授权书全部要鲜章）。</w:t>
      </w:r>
    </w:p>
    <w:p w14:paraId="528C78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7.咨询地点：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14:paraId="0D62A7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w:t>
      </w:r>
      <w:r>
        <w:rPr>
          <w:rFonts w:hint="eastAsia" w:cs="宋体"/>
          <w:i w:val="0"/>
          <w:iCs w:val="0"/>
          <w:caps w:val="0"/>
          <w:color w:val="auto"/>
          <w:spacing w:val="0"/>
          <w:sz w:val="24"/>
          <w:szCs w:val="24"/>
          <w:shd w:val="clear" w:fill="FFFFFF"/>
          <w:lang w:val="en-US" w:eastAsia="zh-CN"/>
        </w:rPr>
        <w:t>招标</w:t>
      </w:r>
      <w:bookmarkStart w:id="0" w:name="_GoBack"/>
      <w:bookmarkEnd w:id="0"/>
      <w:r>
        <w:rPr>
          <w:rFonts w:hint="eastAsia" w:ascii="宋体" w:hAnsi="宋体" w:eastAsia="宋体" w:cs="宋体"/>
          <w:i w:val="0"/>
          <w:iCs w:val="0"/>
          <w:caps w:val="0"/>
          <w:color w:val="auto"/>
          <w:spacing w:val="0"/>
          <w:sz w:val="24"/>
          <w:szCs w:val="24"/>
          <w:shd w:val="clear" w:fill="FFFFFF"/>
        </w:rPr>
        <w:t>时间：另行通知</w:t>
      </w:r>
    </w:p>
    <w:p w14:paraId="30D7F2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9.联系电话：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14:paraId="2CE0B8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2DC351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9"/>
          <w:rFonts w:hint="eastAsia" w:ascii="宋体" w:hAnsi="宋体" w:eastAsia="宋体" w:cs="宋体"/>
          <w:b/>
          <w:bCs/>
          <w:i w:val="0"/>
          <w:iCs w:val="0"/>
          <w:caps w:val="0"/>
          <w:color w:val="auto"/>
          <w:spacing w:val="0"/>
          <w:sz w:val="24"/>
          <w:szCs w:val="24"/>
          <w:shd w:val="clear" w:fill="FFFFFF"/>
        </w:rPr>
        <w:t> </w:t>
      </w:r>
    </w:p>
    <w:p w14:paraId="48F98C55">
      <w:pPr>
        <w:tabs>
          <w:tab w:val="left" w:pos="229"/>
        </w:tabs>
        <w:adjustRightInd w:val="0"/>
        <w:ind w:firstLine="241" w:firstLineChars="100"/>
        <w:rPr>
          <w:rFonts w:ascii="宋体" w:hAnsi="宋体" w:cs="宋体"/>
          <w:b/>
          <w:color w:val="auto"/>
          <w:kern w:val="0"/>
          <w:sz w:val="24"/>
          <w:szCs w:val="24"/>
        </w:rPr>
      </w:pPr>
    </w:p>
    <w:p w14:paraId="58F6FAB9">
      <w:pPr>
        <w:widowControl/>
        <w:adjustRightInd w:val="0"/>
        <w:jc w:val="left"/>
        <w:rPr>
          <w:color w:val="auto"/>
          <w:kern w:val="0"/>
          <w:sz w:val="24"/>
          <w:szCs w:val="24"/>
        </w:rPr>
      </w:pPr>
    </w:p>
    <w:p w14:paraId="060C6F81">
      <w:pPr>
        <w:widowControl/>
        <w:adjustRightInd w:val="0"/>
        <w:ind w:firstLine="240" w:firstLineChars="100"/>
        <w:jc w:val="left"/>
        <w:rPr>
          <w:rFonts w:ascii="宋体" w:hAnsi="宋体" w:cs="宋体"/>
          <w:color w:val="auto"/>
          <w:kern w:val="0"/>
          <w:sz w:val="24"/>
          <w:szCs w:val="24"/>
        </w:rPr>
      </w:pPr>
    </w:p>
    <w:p w14:paraId="22FA69FA">
      <w:pPr>
        <w:widowControl/>
        <w:adjustRightInd w:val="0"/>
        <w:ind w:firstLine="240" w:firstLineChars="100"/>
        <w:jc w:val="left"/>
        <w:rPr>
          <w:rFonts w:ascii="宋体" w:hAnsi="宋体" w:cs="宋体"/>
          <w:color w:val="auto"/>
          <w:kern w:val="0"/>
          <w:sz w:val="24"/>
          <w:szCs w:val="24"/>
        </w:rPr>
      </w:pPr>
    </w:p>
    <w:p w14:paraId="1017751D">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14:paraId="58984B37">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14:paraId="2CF6F994">
      <w:pPr>
        <w:widowControl/>
        <w:adjustRightInd w:val="0"/>
        <w:jc w:val="right"/>
        <w:rPr>
          <w:rFonts w:ascii="宋体" w:hAnsi="宋体" w:cs="宋体"/>
          <w:b/>
          <w:bCs/>
          <w:color w:val="auto"/>
          <w:sz w:val="24"/>
          <w:szCs w:val="24"/>
        </w:rPr>
      </w:pPr>
    </w:p>
    <w:p w14:paraId="75FFA534">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10</w:t>
      </w:r>
      <w:r>
        <w:rPr>
          <w:rFonts w:hint="eastAsia" w:ascii="宋体" w:hAnsi="宋体" w:cs="宋体"/>
          <w:b/>
          <w:bCs/>
          <w:color w:val="auto"/>
          <w:sz w:val="24"/>
          <w:szCs w:val="24"/>
        </w:rPr>
        <w:t xml:space="preserve">日     </w:t>
      </w:r>
    </w:p>
    <w:p w14:paraId="61FBCD63">
      <w:pPr>
        <w:widowControl/>
        <w:adjustRightInd w:val="0"/>
        <w:jc w:val="right"/>
        <w:rPr>
          <w:rFonts w:ascii="宋体" w:hAnsi="宋体" w:cs="宋体"/>
          <w:b/>
          <w:bCs/>
          <w:color w:val="auto"/>
          <w:sz w:val="24"/>
          <w:szCs w:val="24"/>
        </w:rPr>
      </w:pPr>
    </w:p>
    <w:p w14:paraId="27E439DC">
      <w:pPr>
        <w:widowControl/>
        <w:adjustRightInd w:val="0"/>
        <w:jc w:val="right"/>
        <w:rPr>
          <w:rFonts w:ascii="宋体" w:hAnsi="宋体" w:cs="宋体"/>
          <w:b/>
          <w:bCs/>
          <w:color w:val="auto"/>
          <w:sz w:val="24"/>
          <w:szCs w:val="24"/>
        </w:rPr>
      </w:pPr>
    </w:p>
    <w:p w14:paraId="21A0FA5A">
      <w:pPr>
        <w:widowControl/>
        <w:adjustRightInd w:val="0"/>
        <w:jc w:val="right"/>
        <w:rPr>
          <w:rFonts w:ascii="宋体" w:hAnsi="宋体" w:cs="宋体"/>
          <w:b/>
          <w:bCs/>
          <w:color w:val="auto"/>
          <w:sz w:val="24"/>
          <w:szCs w:val="24"/>
        </w:rPr>
      </w:pPr>
    </w:p>
    <w:p w14:paraId="38D5EAF9">
      <w:pPr>
        <w:widowControl/>
        <w:adjustRightInd w:val="0"/>
        <w:jc w:val="right"/>
        <w:rPr>
          <w:rFonts w:ascii="宋体" w:hAnsi="宋体" w:cs="宋体"/>
          <w:b/>
          <w:bCs/>
          <w:color w:val="auto"/>
          <w:sz w:val="24"/>
          <w:szCs w:val="24"/>
        </w:rPr>
      </w:pPr>
    </w:p>
    <w:p w14:paraId="08BE2D7E">
      <w:pPr>
        <w:widowControl/>
        <w:adjustRightInd w:val="0"/>
        <w:jc w:val="right"/>
        <w:rPr>
          <w:rFonts w:ascii="宋体" w:hAnsi="宋体" w:cs="宋体"/>
          <w:b/>
          <w:bCs/>
          <w:color w:val="auto"/>
          <w:sz w:val="24"/>
          <w:szCs w:val="24"/>
        </w:rPr>
      </w:pPr>
    </w:p>
    <w:p w14:paraId="01E6C571">
      <w:pPr>
        <w:widowControl/>
        <w:adjustRightInd w:val="0"/>
        <w:jc w:val="right"/>
        <w:rPr>
          <w:rFonts w:ascii="宋体" w:hAnsi="宋体" w:cs="宋体"/>
          <w:b/>
          <w:bCs/>
          <w:color w:val="auto"/>
          <w:sz w:val="24"/>
          <w:szCs w:val="24"/>
        </w:rPr>
      </w:pPr>
    </w:p>
    <w:p w14:paraId="4CD5DDF5">
      <w:pPr>
        <w:widowControl/>
        <w:adjustRightInd w:val="0"/>
        <w:jc w:val="right"/>
        <w:rPr>
          <w:rFonts w:ascii="宋体" w:hAnsi="宋体" w:cs="宋体"/>
          <w:b/>
          <w:bCs/>
          <w:color w:val="auto"/>
          <w:sz w:val="24"/>
          <w:szCs w:val="24"/>
        </w:rPr>
      </w:pPr>
    </w:p>
    <w:p w14:paraId="3F066318">
      <w:pPr>
        <w:widowControl/>
        <w:adjustRightInd w:val="0"/>
        <w:jc w:val="right"/>
        <w:rPr>
          <w:rFonts w:ascii="宋体" w:hAnsi="宋体" w:cs="宋体"/>
          <w:b/>
          <w:bCs/>
          <w:color w:val="auto"/>
          <w:sz w:val="24"/>
          <w:szCs w:val="24"/>
        </w:rPr>
      </w:pPr>
    </w:p>
    <w:p w14:paraId="76312B80">
      <w:pPr>
        <w:widowControl/>
        <w:adjustRightInd w:val="0"/>
        <w:jc w:val="right"/>
        <w:rPr>
          <w:rFonts w:ascii="宋体" w:hAnsi="宋体" w:cs="宋体"/>
          <w:b/>
          <w:bCs/>
          <w:color w:val="auto"/>
          <w:sz w:val="24"/>
          <w:szCs w:val="24"/>
        </w:rPr>
      </w:pPr>
    </w:p>
    <w:p w14:paraId="3E121C5D">
      <w:pPr>
        <w:widowControl/>
        <w:adjustRightInd w:val="0"/>
        <w:jc w:val="right"/>
        <w:rPr>
          <w:rFonts w:ascii="宋体" w:hAnsi="宋体" w:cs="宋体"/>
          <w:b/>
          <w:bCs/>
          <w:color w:val="auto"/>
          <w:sz w:val="24"/>
          <w:szCs w:val="24"/>
        </w:rPr>
      </w:pPr>
    </w:p>
    <w:p w14:paraId="3464D6F8">
      <w:pPr>
        <w:widowControl/>
        <w:adjustRightInd w:val="0"/>
        <w:jc w:val="right"/>
        <w:rPr>
          <w:rFonts w:ascii="宋体" w:hAnsi="宋体" w:cs="宋体"/>
          <w:b/>
          <w:bCs/>
          <w:color w:val="auto"/>
          <w:sz w:val="24"/>
          <w:szCs w:val="24"/>
        </w:rPr>
      </w:pPr>
    </w:p>
    <w:p w14:paraId="64E9A870">
      <w:pPr>
        <w:widowControl/>
        <w:adjustRightInd w:val="0"/>
        <w:jc w:val="right"/>
        <w:rPr>
          <w:rFonts w:ascii="宋体" w:hAnsi="宋体" w:cs="宋体"/>
          <w:b/>
          <w:bCs/>
          <w:color w:val="auto"/>
          <w:sz w:val="24"/>
          <w:szCs w:val="24"/>
        </w:rPr>
      </w:pPr>
    </w:p>
    <w:p w14:paraId="7F28F22C">
      <w:pPr>
        <w:widowControl/>
        <w:adjustRightInd w:val="0"/>
        <w:jc w:val="right"/>
        <w:rPr>
          <w:rFonts w:ascii="宋体" w:hAnsi="宋体" w:cs="宋体"/>
          <w:b/>
          <w:bCs/>
          <w:color w:val="auto"/>
          <w:sz w:val="24"/>
          <w:szCs w:val="24"/>
        </w:rPr>
      </w:pPr>
    </w:p>
    <w:p w14:paraId="7F139C4D">
      <w:pPr>
        <w:widowControl/>
        <w:adjustRightInd w:val="0"/>
        <w:jc w:val="right"/>
        <w:rPr>
          <w:rFonts w:ascii="宋体" w:hAnsi="宋体" w:cs="宋体"/>
          <w:b/>
          <w:bCs/>
          <w:color w:val="auto"/>
          <w:sz w:val="24"/>
          <w:szCs w:val="24"/>
        </w:rPr>
      </w:pPr>
    </w:p>
    <w:p w14:paraId="4D1BF4C6">
      <w:pPr>
        <w:widowControl/>
        <w:adjustRightInd w:val="0"/>
        <w:jc w:val="right"/>
        <w:rPr>
          <w:rFonts w:ascii="宋体" w:hAnsi="宋体" w:cs="宋体"/>
          <w:b/>
          <w:bCs/>
          <w:color w:val="auto"/>
          <w:sz w:val="24"/>
          <w:szCs w:val="24"/>
        </w:rPr>
      </w:pPr>
    </w:p>
    <w:p w14:paraId="4D4192B0">
      <w:pPr>
        <w:widowControl/>
        <w:adjustRightInd w:val="0"/>
        <w:jc w:val="both"/>
        <w:rPr>
          <w:rFonts w:ascii="宋体" w:hAnsi="宋体" w:cs="宋体"/>
          <w:b/>
          <w:bCs/>
          <w:color w:val="auto"/>
          <w:sz w:val="24"/>
          <w:szCs w:val="24"/>
        </w:rPr>
        <w:sectPr>
          <w:pgSz w:w="11906" w:h="16838"/>
          <w:pgMar w:top="873" w:right="1230" w:bottom="873" w:left="1230"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宋体" w:hAnsi="宋体" w:cs="宋体"/>
          <w:b/>
          <w:bCs/>
          <w:color w:val="auto"/>
          <w:sz w:val="24"/>
          <w:szCs w:val="24"/>
        </w:rPr>
        <w:t xml:space="preserve">                                           </w:t>
      </w:r>
    </w:p>
    <w:p w14:paraId="6950EF40">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14:paraId="4D064BD8">
      <w:pPr>
        <w:widowControl/>
        <w:spacing w:line="320" w:lineRule="exact"/>
        <w:jc w:val="left"/>
        <w:rPr>
          <w:rFonts w:ascii="宋体" w:hAnsi="宋体" w:cs="宋体"/>
          <w:bCs/>
          <w:color w:val="auto"/>
          <w:sz w:val="24"/>
          <w:szCs w:val="24"/>
        </w:rPr>
      </w:pPr>
    </w:p>
    <w:tbl>
      <w:tblPr>
        <w:tblStyle w:val="6"/>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gridCol w:w="897"/>
      </w:tblGrid>
      <w:tr w14:paraId="6F67A1BB">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14:paraId="493A19D2">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882" w:type="dxa"/>
            <w:tcBorders>
              <w:top w:val="single" w:color="auto" w:sz="4" w:space="0"/>
              <w:left w:val="nil"/>
              <w:right w:val="single" w:color="auto" w:sz="4" w:space="0"/>
            </w:tcBorders>
            <w:vAlign w:val="center"/>
          </w:tcPr>
          <w:p w14:paraId="52D92C34">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882" w:type="dxa"/>
            <w:tcBorders>
              <w:top w:val="single" w:color="auto" w:sz="4" w:space="0"/>
              <w:left w:val="nil"/>
              <w:right w:val="single" w:color="auto" w:sz="4" w:space="0"/>
            </w:tcBorders>
            <w:vAlign w:val="center"/>
          </w:tcPr>
          <w:p w14:paraId="3A078A9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882" w:type="dxa"/>
            <w:tcBorders>
              <w:top w:val="single" w:color="auto" w:sz="4" w:space="0"/>
              <w:left w:val="nil"/>
              <w:right w:val="single" w:color="auto" w:sz="4" w:space="0"/>
            </w:tcBorders>
            <w:vAlign w:val="center"/>
          </w:tcPr>
          <w:p w14:paraId="0952A0F5">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882" w:type="dxa"/>
            <w:tcBorders>
              <w:top w:val="single" w:color="auto" w:sz="4" w:space="0"/>
              <w:left w:val="nil"/>
              <w:right w:val="single" w:color="auto" w:sz="4" w:space="0"/>
            </w:tcBorders>
            <w:vAlign w:val="center"/>
          </w:tcPr>
          <w:p w14:paraId="24C0D29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82" w:type="dxa"/>
            <w:tcBorders>
              <w:top w:val="single" w:color="auto" w:sz="4" w:space="0"/>
              <w:left w:val="nil"/>
              <w:right w:val="single" w:color="auto" w:sz="4" w:space="0"/>
            </w:tcBorders>
            <w:vAlign w:val="center"/>
          </w:tcPr>
          <w:p w14:paraId="478B6373">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882" w:type="dxa"/>
            <w:tcBorders>
              <w:top w:val="single" w:color="auto" w:sz="4" w:space="0"/>
              <w:left w:val="nil"/>
              <w:right w:val="single" w:color="auto" w:sz="4" w:space="0"/>
            </w:tcBorders>
            <w:vAlign w:val="center"/>
          </w:tcPr>
          <w:p w14:paraId="4C6B70D1">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929" w:type="dxa"/>
            <w:tcBorders>
              <w:top w:val="single" w:color="auto" w:sz="4" w:space="0"/>
              <w:left w:val="nil"/>
              <w:right w:val="single" w:color="auto" w:sz="4" w:space="0"/>
            </w:tcBorders>
            <w:vAlign w:val="center"/>
          </w:tcPr>
          <w:p w14:paraId="1710191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14:paraId="0011FFC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14:paraId="47552AA8">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14:paraId="329EAFFC">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14:paraId="2B632D8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14:paraId="6E84336F">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14:paraId="4F9D5BA1">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14:paraId="1F595AA2">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54A15F3">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709F11AF">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267E9631">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29AB63D6">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0FEDE32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415232A5">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5BD905B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9" w:type="dxa"/>
            <w:tcBorders>
              <w:top w:val="single" w:color="auto" w:sz="4" w:space="0"/>
              <w:left w:val="nil"/>
              <w:bottom w:val="single" w:color="auto" w:sz="4" w:space="0"/>
              <w:right w:val="single" w:color="auto" w:sz="4" w:space="0"/>
            </w:tcBorders>
            <w:vAlign w:val="center"/>
          </w:tcPr>
          <w:p w14:paraId="2209D34D">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77E0235F">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3422EB0D">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3226A8B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753F07F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5EF69B1">
            <w:pPr>
              <w:widowControl/>
              <w:jc w:val="left"/>
              <w:rPr>
                <w:rFonts w:ascii="宋体" w:hAnsi="宋体" w:cs="宋体"/>
                <w:color w:val="auto"/>
                <w:kern w:val="0"/>
                <w:sz w:val="24"/>
                <w:szCs w:val="24"/>
              </w:rPr>
            </w:pPr>
          </w:p>
        </w:tc>
      </w:tr>
      <w:tr w14:paraId="76F83991">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5A2D726E">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3AADD48B">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71E704D3">
            <w:pPr>
              <w:widowControl/>
              <w:jc w:val="left"/>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CED450F">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1ED5BAFB">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A5E6652">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74AED8C">
            <w:pPr>
              <w:widowControl/>
              <w:jc w:val="center"/>
              <w:rPr>
                <w:rFonts w:ascii="宋体" w:hAnsi="宋体" w:cs="宋体"/>
                <w:bCs/>
                <w:color w:val="auto"/>
                <w:kern w:val="0"/>
                <w:sz w:val="24"/>
                <w:szCs w:val="24"/>
              </w:rPr>
            </w:pPr>
          </w:p>
        </w:tc>
        <w:tc>
          <w:tcPr>
            <w:tcW w:w="929" w:type="dxa"/>
            <w:tcBorders>
              <w:top w:val="single" w:color="auto" w:sz="4" w:space="0"/>
              <w:left w:val="nil"/>
              <w:bottom w:val="single" w:color="auto" w:sz="4" w:space="0"/>
              <w:right w:val="single" w:color="auto" w:sz="4" w:space="0"/>
            </w:tcBorders>
            <w:vAlign w:val="center"/>
          </w:tcPr>
          <w:p w14:paraId="2470AFB5">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3F7B82B6">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2F04709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F154E15">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6C3752B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5CFF67ED">
            <w:pPr>
              <w:widowControl/>
              <w:jc w:val="left"/>
              <w:rPr>
                <w:rFonts w:ascii="宋体" w:hAnsi="宋体" w:cs="宋体"/>
                <w:color w:val="auto"/>
                <w:kern w:val="0"/>
                <w:sz w:val="24"/>
                <w:szCs w:val="24"/>
              </w:rPr>
            </w:pPr>
          </w:p>
        </w:tc>
      </w:tr>
    </w:tbl>
    <w:p w14:paraId="07F87BF9">
      <w:pPr>
        <w:widowControl/>
        <w:spacing w:line="320" w:lineRule="exact"/>
        <w:jc w:val="left"/>
        <w:rPr>
          <w:rFonts w:ascii="宋体" w:hAnsi="宋体" w:cs="宋体"/>
          <w:color w:val="auto"/>
          <w:kern w:val="0"/>
          <w:sz w:val="24"/>
          <w:szCs w:val="24"/>
        </w:rPr>
      </w:pPr>
    </w:p>
    <w:p w14:paraId="5431AACF">
      <w:pPr>
        <w:widowControl/>
        <w:spacing w:line="320" w:lineRule="exact"/>
        <w:jc w:val="left"/>
        <w:rPr>
          <w:rFonts w:ascii="宋体" w:hAnsi="宋体" w:cs="宋体"/>
          <w:b/>
          <w:bCs/>
          <w:color w:val="auto"/>
          <w:sz w:val="24"/>
          <w:szCs w:val="24"/>
        </w:rPr>
      </w:pPr>
    </w:p>
    <w:p w14:paraId="346DB26D">
      <w:pPr>
        <w:widowControl/>
        <w:spacing w:line="320" w:lineRule="exact"/>
        <w:jc w:val="left"/>
        <w:rPr>
          <w:rFonts w:ascii="宋体" w:hAnsi="宋体" w:cs="宋体"/>
          <w:b/>
          <w:bCs/>
          <w:color w:val="auto"/>
          <w:sz w:val="24"/>
          <w:szCs w:val="24"/>
        </w:rPr>
      </w:pPr>
    </w:p>
    <w:p w14:paraId="26B856A2">
      <w:pPr>
        <w:widowControl/>
        <w:spacing w:line="320" w:lineRule="exact"/>
        <w:jc w:val="left"/>
        <w:rPr>
          <w:rFonts w:ascii="宋体" w:hAnsi="宋体" w:cs="宋体"/>
          <w:b/>
          <w:bCs/>
          <w:color w:val="auto"/>
          <w:sz w:val="24"/>
          <w:szCs w:val="24"/>
        </w:rPr>
      </w:pPr>
    </w:p>
    <w:p w14:paraId="45F539EA">
      <w:pPr>
        <w:widowControl/>
        <w:spacing w:line="320" w:lineRule="exact"/>
        <w:jc w:val="left"/>
        <w:rPr>
          <w:rFonts w:ascii="宋体" w:hAnsi="宋体" w:cs="宋体"/>
          <w:b/>
          <w:bCs/>
          <w:color w:val="auto"/>
          <w:sz w:val="24"/>
          <w:szCs w:val="24"/>
        </w:rPr>
      </w:pPr>
    </w:p>
    <w:p w14:paraId="01439F88">
      <w:pPr>
        <w:widowControl/>
        <w:spacing w:line="320" w:lineRule="exact"/>
        <w:jc w:val="left"/>
        <w:rPr>
          <w:rFonts w:ascii="宋体" w:hAnsi="宋体" w:cs="宋体"/>
          <w:b/>
          <w:bCs/>
          <w:color w:val="auto"/>
          <w:sz w:val="24"/>
          <w:szCs w:val="24"/>
        </w:rPr>
      </w:pPr>
    </w:p>
    <w:p w14:paraId="215A3830">
      <w:pPr>
        <w:widowControl/>
        <w:spacing w:line="320" w:lineRule="exact"/>
        <w:jc w:val="left"/>
        <w:rPr>
          <w:rFonts w:ascii="宋体" w:hAnsi="宋体" w:cs="宋体"/>
          <w:b/>
          <w:bCs/>
          <w:color w:val="auto"/>
          <w:sz w:val="24"/>
          <w:szCs w:val="24"/>
        </w:rPr>
      </w:pPr>
    </w:p>
    <w:p w14:paraId="6F557B78">
      <w:pPr>
        <w:widowControl/>
        <w:spacing w:line="320" w:lineRule="exact"/>
        <w:jc w:val="left"/>
        <w:rPr>
          <w:rFonts w:ascii="宋体" w:hAnsi="宋体" w:cs="宋体"/>
          <w:b/>
          <w:bCs/>
          <w:color w:val="auto"/>
          <w:sz w:val="24"/>
          <w:szCs w:val="24"/>
        </w:rPr>
      </w:pPr>
    </w:p>
    <w:p w14:paraId="3FE6BC85">
      <w:pPr>
        <w:widowControl/>
        <w:spacing w:line="320" w:lineRule="exact"/>
        <w:jc w:val="left"/>
        <w:rPr>
          <w:rFonts w:ascii="宋体" w:hAnsi="宋体" w:cs="宋体"/>
          <w:b/>
          <w:bCs/>
          <w:color w:val="auto"/>
          <w:sz w:val="24"/>
          <w:szCs w:val="24"/>
        </w:rPr>
      </w:pPr>
    </w:p>
    <w:p w14:paraId="1498244D">
      <w:pPr>
        <w:widowControl/>
        <w:spacing w:line="320" w:lineRule="exact"/>
        <w:jc w:val="left"/>
        <w:rPr>
          <w:rFonts w:ascii="宋体" w:hAnsi="宋体" w:cs="宋体"/>
          <w:b/>
          <w:bCs/>
          <w:color w:val="auto"/>
          <w:sz w:val="24"/>
          <w:szCs w:val="24"/>
        </w:rPr>
      </w:pPr>
    </w:p>
    <w:p w14:paraId="0D2182C6">
      <w:pPr>
        <w:widowControl/>
        <w:spacing w:line="320" w:lineRule="exact"/>
        <w:jc w:val="left"/>
        <w:rPr>
          <w:rFonts w:ascii="宋体" w:hAnsi="宋体" w:cs="宋体"/>
          <w:b/>
          <w:bCs/>
          <w:color w:val="auto"/>
          <w:sz w:val="24"/>
          <w:szCs w:val="24"/>
        </w:rPr>
      </w:pPr>
    </w:p>
    <w:p w14:paraId="54729B1E">
      <w:pPr>
        <w:widowControl/>
        <w:spacing w:line="320" w:lineRule="exact"/>
        <w:jc w:val="left"/>
        <w:rPr>
          <w:rFonts w:ascii="宋体" w:hAnsi="宋体" w:cs="宋体"/>
          <w:b/>
          <w:bCs/>
          <w:color w:val="auto"/>
          <w:sz w:val="24"/>
          <w:szCs w:val="24"/>
        </w:rPr>
      </w:pPr>
    </w:p>
    <w:p w14:paraId="49E3FC29">
      <w:pPr>
        <w:widowControl/>
        <w:spacing w:line="320" w:lineRule="exact"/>
        <w:jc w:val="left"/>
        <w:rPr>
          <w:rFonts w:ascii="宋体" w:hAnsi="宋体" w:cs="宋体"/>
          <w:b/>
          <w:bCs/>
          <w:color w:val="auto"/>
          <w:sz w:val="24"/>
          <w:szCs w:val="24"/>
        </w:rPr>
      </w:pPr>
    </w:p>
    <w:p w14:paraId="689A1C49">
      <w:pPr>
        <w:spacing w:line="360" w:lineRule="auto"/>
        <w:jc w:val="left"/>
        <w:rPr>
          <w:rFonts w:hint="eastAsia" w:ascii="宋体" w:hAnsi="宋体" w:cs="宋体"/>
          <w:color w:val="auto"/>
          <w:sz w:val="24"/>
          <w:szCs w:val="24"/>
        </w:rPr>
      </w:pPr>
    </w:p>
    <w:p w14:paraId="0807F9FB">
      <w:pPr>
        <w:spacing w:line="360" w:lineRule="auto"/>
        <w:jc w:val="left"/>
        <w:rPr>
          <w:rFonts w:hint="eastAsia" w:ascii="宋体" w:hAnsi="宋体" w:cs="宋体"/>
          <w:color w:val="auto"/>
          <w:sz w:val="24"/>
          <w:szCs w:val="24"/>
        </w:rPr>
      </w:pPr>
    </w:p>
    <w:p w14:paraId="6CD680D4">
      <w:pPr>
        <w:spacing w:line="360" w:lineRule="auto"/>
        <w:jc w:val="left"/>
        <w:rPr>
          <w:rFonts w:hint="eastAsia" w:ascii="宋体" w:hAnsi="宋体" w:cs="宋体"/>
          <w:color w:val="auto"/>
          <w:sz w:val="24"/>
          <w:szCs w:val="24"/>
        </w:rPr>
      </w:pPr>
    </w:p>
    <w:p w14:paraId="1C58F3B0">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14:paraId="07CA582F">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14:paraId="588CC83C">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14:paraId="2B80C4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14:paraId="578A29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14:paraId="74BBEDA1">
      <w:pPr>
        <w:widowControl/>
        <w:spacing w:line="320" w:lineRule="exact"/>
        <w:jc w:val="left"/>
        <w:rPr>
          <w:rFonts w:ascii="宋体" w:hAnsi="宋体" w:cs="宋体"/>
          <w:b/>
          <w:bCs/>
          <w:color w:val="auto"/>
          <w:sz w:val="24"/>
          <w:szCs w:val="24"/>
        </w:rPr>
      </w:pPr>
    </w:p>
    <w:p w14:paraId="7419CD75">
      <w:pPr>
        <w:widowControl/>
        <w:spacing w:line="320" w:lineRule="exact"/>
        <w:jc w:val="left"/>
        <w:rPr>
          <w:rFonts w:ascii="宋体" w:hAnsi="宋体" w:cs="宋体"/>
          <w:b/>
          <w:bCs/>
          <w:color w:val="auto"/>
          <w:sz w:val="24"/>
          <w:szCs w:val="24"/>
        </w:rPr>
      </w:pPr>
    </w:p>
    <w:p w14:paraId="51AF79BD">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14:paraId="5C43318D">
      <w:pPr>
        <w:widowControl/>
        <w:spacing w:line="320" w:lineRule="exact"/>
        <w:jc w:val="left"/>
        <w:rPr>
          <w:rFonts w:ascii="宋体" w:hAnsi="宋体" w:cs="宋体"/>
          <w:b/>
          <w:bCs/>
          <w:color w:val="auto"/>
          <w:sz w:val="24"/>
          <w:szCs w:val="24"/>
        </w:rPr>
      </w:pPr>
    </w:p>
    <w:p w14:paraId="322F7847">
      <w:pPr>
        <w:widowControl/>
        <w:spacing w:line="320" w:lineRule="exact"/>
        <w:jc w:val="left"/>
        <w:rPr>
          <w:rFonts w:ascii="宋体" w:hAnsi="宋体" w:cs="宋体"/>
          <w:b/>
          <w:bCs/>
          <w:color w:val="auto"/>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4987"/>
        <w:gridCol w:w="2219"/>
        <w:gridCol w:w="2994"/>
        <w:gridCol w:w="1995"/>
      </w:tblGrid>
      <w:tr w14:paraId="16AAF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544" w:type="dxa"/>
            <w:gridSpan w:val="2"/>
            <w:tcBorders>
              <w:top w:val="single" w:color="000000" w:sz="4" w:space="0"/>
              <w:left w:val="single" w:color="000000" w:sz="4" w:space="0"/>
              <w:bottom w:val="single" w:color="000000" w:sz="4" w:space="0"/>
              <w:right w:val="single" w:color="000000" w:sz="4" w:space="0"/>
              <w:tl2br w:val="nil"/>
              <w:tr2bl w:val="nil"/>
            </w:tcBorders>
          </w:tcPr>
          <w:p w14:paraId="6013C748">
            <w:pPr>
              <w:widowControl/>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72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EB77672">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5</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1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16 </w:t>
            </w:r>
            <w:r>
              <w:rPr>
                <w:rFonts w:hint="eastAsia" w:ascii="宋体" w:hAnsi="宋体" w:cs="宋体"/>
                <w:bCs/>
                <w:color w:val="auto"/>
                <w:sz w:val="24"/>
                <w:szCs w:val="24"/>
              </w:rPr>
              <w:t>日</w:t>
            </w:r>
          </w:p>
        </w:tc>
      </w:tr>
      <w:tr w14:paraId="6704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D9AA565">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14:paraId="23DCEC22">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2618A46D">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0F7A0EA7">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322D419B">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1CDAB59D">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14:paraId="0E4E19C8">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14:paraId="75E0C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1535ECC">
            <w:pPr>
              <w:jc w:val="center"/>
              <w:rPr>
                <w:rFonts w:ascii="宋体" w:hAnsi="宋体" w:cs="宋体"/>
                <w:color w:val="auto"/>
                <w:sz w:val="24"/>
                <w:szCs w:val="24"/>
              </w:rPr>
            </w:pP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58DA951B">
            <w:pPr>
              <w:jc w:val="center"/>
              <w:rPr>
                <w:rFonts w:ascii="宋体" w:hAnsi="宋体" w:cs="宋体"/>
                <w:color w:val="auto"/>
                <w:sz w:val="24"/>
                <w:szCs w:val="24"/>
              </w:rPr>
            </w:pP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3E1682D9">
            <w:pPr>
              <w:rPr>
                <w:rFonts w:ascii="宋体" w:hAnsi="宋体" w:cs="宋体"/>
                <w:color w:val="auto"/>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63AF835F">
            <w:pPr>
              <w:rPr>
                <w:rFonts w:ascii="宋体" w:hAnsi="宋体" w:cs="宋体"/>
                <w:color w:val="auto"/>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3BD0BED0">
            <w:pPr>
              <w:rPr>
                <w:rFonts w:ascii="宋体" w:hAnsi="宋体" w:cs="宋体"/>
                <w:color w:val="auto"/>
                <w:sz w:val="24"/>
                <w:szCs w:val="24"/>
              </w:rPr>
            </w:pPr>
          </w:p>
        </w:tc>
      </w:tr>
    </w:tbl>
    <w:p w14:paraId="3A343F78">
      <w:pPr>
        <w:rPr>
          <w:color w:val="auto"/>
          <w:sz w:val="24"/>
          <w:szCs w:val="24"/>
        </w:rPr>
      </w:pPr>
    </w:p>
    <w:p w14:paraId="7E50921C">
      <w:pPr>
        <w:rPr>
          <w:color w:val="auto"/>
          <w:sz w:val="24"/>
          <w:szCs w:val="24"/>
        </w:rPr>
      </w:pPr>
    </w:p>
    <w:p w14:paraId="5FCFA82A">
      <w:pPr>
        <w:rPr>
          <w:color w:val="auto"/>
          <w:sz w:val="24"/>
          <w:szCs w:val="24"/>
        </w:rPr>
      </w:pPr>
    </w:p>
    <w:p w14:paraId="5FBDC84C">
      <w:pPr>
        <w:rPr>
          <w:color w:val="auto"/>
          <w:sz w:val="24"/>
          <w:szCs w:val="24"/>
        </w:rPr>
      </w:pPr>
    </w:p>
    <w:p w14:paraId="1352812A">
      <w:pPr>
        <w:rPr>
          <w:color w:val="auto"/>
          <w:sz w:val="24"/>
          <w:szCs w:val="24"/>
        </w:rPr>
      </w:pPr>
    </w:p>
    <w:sectPr>
      <w:pgSz w:w="16838" w:h="11906" w:orient="landscape"/>
      <w:pgMar w:top="1230" w:right="1440" w:bottom="1230" w:left="1440" w:header="851" w:footer="992" w:gutter="0"/>
      <w:pgBorders>
        <w:top w:val="none" w:sz="0" w:space="0"/>
        <w:left w:val="none" w:sz="0" w:space="0"/>
        <w:bottom w:val="none" w:sz="0" w:space="0"/>
        <w:right w:val="none" w:sz="0" w:space="0"/>
      </w:pgBorders>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274E6"/>
    <w:multiLevelType w:val="singleLevel"/>
    <w:tmpl w:val="A9F274E6"/>
    <w:lvl w:ilvl="0" w:tentative="0">
      <w:start w:val="1"/>
      <w:numFmt w:val="chineseCounting"/>
      <w:suff w:val="nothing"/>
      <w:lvlText w:val="%1、"/>
      <w:lvlJc w:val="left"/>
      <w:rPr>
        <w:rFonts w:hint="eastAsia"/>
      </w:rPr>
    </w:lvl>
  </w:abstractNum>
  <w:abstractNum w:abstractNumId="1">
    <w:nsid w:val="4B142497"/>
    <w:multiLevelType w:val="singleLevel"/>
    <w:tmpl w:val="4B142497"/>
    <w:lvl w:ilvl="0" w:tentative="0">
      <w:start w:val="3"/>
      <w:numFmt w:val="decimal"/>
      <w:lvlText w:val="%1."/>
      <w:lvlJc w:val="left"/>
      <w:pPr>
        <w:tabs>
          <w:tab w:val="left" w:pos="312"/>
        </w:tabs>
      </w:pPr>
    </w:lvl>
  </w:abstractNum>
  <w:abstractNum w:abstractNumId="2">
    <w:nsid w:val="7B239C14"/>
    <w:multiLevelType w:val="singleLevel"/>
    <w:tmpl w:val="7B239C14"/>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3181"/>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18F4C90"/>
    <w:rsid w:val="0227136C"/>
    <w:rsid w:val="02647ECA"/>
    <w:rsid w:val="026C4592"/>
    <w:rsid w:val="02963DFC"/>
    <w:rsid w:val="02B22C99"/>
    <w:rsid w:val="03760A36"/>
    <w:rsid w:val="03E31938"/>
    <w:rsid w:val="04214485"/>
    <w:rsid w:val="042D5ACB"/>
    <w:rsid w:val="04342DE5"/>
    <w:rsid w:val="04A80451"/>
    <w:rsid w:val="04FA2D68"/>
    <w:rsid w:val="05E414D8"/>
    <w:rsid w:val="066761DB"/>
    <w:rsid w:val="06732DD2"/>
    <w:rsid w:val="06B1763E"/>
    <w:rsid w:val="072E33F4"/>
    <w:rsid w:val="073929DD"/>
    <w:rsid w:val="07A31495"/>
    <w:rsid w:val="07D7113E"/>
    <w:rsid w:val="088B7712"/>
    <w:rsid w:val="08AA59B2"/>
    <w:rsid w:val="08B55272"/>
    <w:rsid w:val="08C04B66"/>
    <w:rsid w:val="08DB07BA"/>
    <w:rsid w:val="08FA5CE8"/>
    <w:rsid w:val="0A8E01DA"/>
    <w:rsid w:val="0AEA1189"/>
    <w:rsid w:val="0C750D3A"/>
    <w:rsid w:val="0D1D3292"/>
    <w:rsid w:val="0DB3034F"/>
    <w:rsid w:val="0DD04666"/>
    <w:rsid w:val="0E2950C1"/>
    <w:rsid w:val="0EB6385C"/>
    <w:rsid w:val="0EB9334C"/>
    <w:rsid w:val="0EDF74D1"/>
    <w:rsid w:val="0F386BC4"/>
    <w:rsid w:val="0FA67E1C"/>
    <w:rsid w:val="0FB41A5F"/>
    <w:rsid w:val="10806817"/>
    <w:rsid w:val="109127D2"/>
    <w:rsid w:val="11863E28"/>
    <w:rsid w:val="11BB604C"/>
    <w:rsid w:val="11C444E1"/>
    <w:rsid w:val="12887BC1"/>
    <w:rsid w:val="12FE5D3A"/>
    <w:rsid w:val="135A76B3"/>
    <w:rsid w:val="13F76DF0"/>
    <w:rsid w:val="14E35709"/>
    <w:rsid w:val="151C7F30"/>
    <w:rsid w:val="15EF0FCE"/>
    <w:rsid w:val="16353C00"/>
    <w:rsid w:val="16B72867"/>
    <w:rsid w:val="17792AAB"/>
    <w:rsid w:val="187F5606"/>
    <w:rsid w:val="18DE057F"/>
    <w:rsid w:val="18DF7E53"/>
    <w:rsid w:val="19235C4C"/>
    <w:rsid w:val="1931504F"/>
    <w:rsid w:val="19B34C16"/>
    <w:rsid w:val="19C963EB"/>
    <w:rsid w:val="1ACB7EC9"/>
    <w:rsid w:val="1AE856E5"/>
    <w:rsid w:val="1B6603B7"/>
    <w:rsid w:val="1B742AD4"/>
    <w:rsid w:val="1BFE2CE6"/>
    <w:rsid w:val="1C0D7B72"/>
    <w:rsid w:val="1C1F5D6C"/>
    <w:rsid w:val="1D6A702F"/>
    <w:rsid w:val="1D9751A0"/>
    <w:rsid w:val="1E3B3D7D"/>
    <w:rsid w:val="1E8045E6"/>
    <w:rsid w:val="1EF74148"/>
    <w:rsid w:val="1F89731B"/>
    <w:rsid w:val="1FDD0560"/>
    <w:rsid w:val="20947775"/>
    <w:rsid w:val="20EF0E4F"/>
    <w:rsid w:val="2153608B"/>
    <w:rsid w:val="2173655D"/>
    <w:rsid w:val="21757025"/>
    <w:rsid w:val="21C85169"/>
    <w:rsid w:val="21D25E3F"/>
    <w:rsid w:val="21EB7868"/>
    <w:rsid w:val="226E1867"/>
    <w:rsid w:val="236D292E"/>
    <w:rsid w:val="23AE0B4E"/>
    <w:rsid w:val="2409047A"/>
    <w:rsid w:val="241870A8"/>
    <w:rsid w:val="24194B61"/>
    <w:rsid w:val="2453247D"/>
    <w:rsid w:val="25166FF2"/>
    <w:rsid w:val="256002C8"/>
    <w:rsid w:val="2580651A"/>
    <w:rsid w:val="25C1725E"/>
    <w:rsid w:val="25F0173F"/>
    <w:rsid w:val="261455E0"/>
    <w:rsid w:val="262241EA"/>
    <w:rsid w:val="26506553"/>
    <w:rsid w:val="266240CD"/>
    <w:rsid w:val="26644CF8"/>
    <w:rsid w:val="268B33C8"/>
    <w:rsid w:val="270C7EB3"/>
    <w:rsid w:val="272C6959"/>
    <w:rsid w:val="27766813"/>
    <w:rsid w:val="2781521D"/>
    <w:rsid w:val="2789416A"/>
    <w:rsid w:val="27F5587C"/>
    <w:rsid w:val="282D4FFC"/>
    <w:rsid w:val="283B58B4"/>
    <w:rsid w:val="283C5022"/>
    <w:rsid w:val="28A16ED3"/>
    <w:rsid w:val="28CD7CC8"/>
    <w:rsid w:val="29146FF1"/>
    <w:rsid w:val="291E0523"/>
    <w:rsid w:val="295E31DA"/>
    <w:rsid w:val="299E63A1"/>
    <w:rsid w:val="29F11957"/>
    <w:rsid w:val="2A2E6A0E"/>
    <w:rsid w:val="2AAE58D7"/>
    <w:rsid w:val="2AC17053"/>
    <w:rsid w:val="2B1E480B"/>
    <w:rsid w:val="2B655410"/>
    <w:rsid w:val="2BE258E9"/>
    <w:rsid w:val="2CB573F1"/>
    <w:rsid w:val="2CB73169"/>
    <w:rsid w:val="2E756E38"/>
    <w:rsid w:val="2EAA5ACA"/>
    <w:rsid w:val="2EBF4557"/>
    <w:rsid w:val="2EDF69A7"/>
    <w:rsid w:val="2F3838CC"/>
    <w:rsid w:val="2F566C69"/>
    <w:rsid w:val="2F5B28C9"/>
    <w:rsid w:val="2F77098D"/>
    <w:rsid w:val="30E262DA"/>
    <w:rsid w:val="30E87D95"/>
    <w:rsid w:val="30F46739"/>
    <w:rsid w:val="312D39F9"/>
    <w:rsid w:val="324A73AD"/>
    <w:rsid w:val="32870EE7"/>
    <w:rsid w:val="32FD7C0C"/>
    <w:rsid w:val="330C665F"/>
    <w:rsid w:val="33192C4B"/>
    <w:rsid w:val="33323549"/>
    <w:rsid w:val="3370246B"/>
    <w:rsid w:val="33726E8E"/>
    <w:rsid w:val="346B732D"/>
    <w:rsid w:val="35047349"/>
    <w:rsid w:val="35281681"/>
    <w:rsid w:val="35656898"/>
    <w:rsid w:val="364517E5"/>
    <w:rsid w:val="365B59FF"/>
    <w:rsid w:val="3699443D"/>
    <w:rsid w:val="36E70D89"/>
    <w:rsid w:val="3700570C"/>
    <w:rsid w:val="3757620D"/>
    <w:rsid w:val="37B74E56"/>
    <w:rsid w:val="37DF5322"/>
    <w:rsid w:val="386A3D5A"/>
    <w:rsid w:val="386C12AB"/>
    <w:rsid w:val="38CA4224"/>
    <w:rsid w:val="38FD1C63"/>
    <w:rsid w:val="390E64C0"/>
    <w:rsid w:val="39B61056"/>
    <w:rsid w:val="3A801003"/>
    <w:rsid w:val="3ADD7E34"/>
    <w:rsid w:val="3BBE32F5"/>
    <w:rsid w:val="3BDA141A"/>
    <w:rsid w:val="3C072B5C"/>
    <w:rsid w:val="3C4564D3"/>
    <w:rsid w:val="3C6A368A"/>
    <w:rsid w:val="3C6B3931"/>
    <w:rsid w:val="3C9F7A4A"/>
    <w:rsid w:val="3CAF42BA"/>
    <w:rsid w:val="3CBC7006"/>
    <w:rsid w:val="3CE4098F"/>
    <w:rsid w:val="3D363C36"/>
    <w:rsid w:val="3DEA5163"/>
    <w:rsid w:val="3E3A59A8"/>
    <w:rsid w:val="3E612F34"/>
    <w:rsid w:val="3E8B6203"/>
    <w:rsid w:val="3ED96F6F"/>
    <w:rsid w:val="3F2C3542"/>
    <w:rsid w:val="40534AFF"/>
    <w:rsid w:val="406E1579"/>
    <w:rsid w:val="40743CB3"/>
    <w:rsid w:val="40CA2FAF"/>
    <w:rsid w:val="410D2F00"/>
    <w:rsid w:val="41E77BF5"/>
    <w:rsid w:val="41FD11C6"/>
    <w:rsid w:val="420D1477"/>
    <w:rsid w:val="42116A20"/>
    <w:rsid w:val="42212A48"/>
    <w:rsid w:val="422624CB"/>
    <w:rsid w:val="42CC314D"/>
    <w:rsid w:val="42F419B6"/>
    <w:rsid w:val="43532373"/>
    <w:rsid w:val="43811983"/>
    <w:rsid w:val="43B606FA"/>
    <w:rsid w:val="443B46BF"/>
    <w:rsid w:val="444B69E3"/>
    <w:rsid w:val="4475773A"/>
    <w:rsid w:val="456A4104"/>
    <w:rsid w:val="45A858ED"/>
    <w:rsid w:val="45E87A97"/>
    <w:rsid w:val="466A47F7"/>
    <w:rsid w:val="467E7FA2"/>
    <w:rsid w:val="468D3EDC"/>
    <w:rsid w:val="47F840D4"/>
    <w:rsid w:val="48126F50"/>
    <w:rsid w:val="48253225"/>
    <w:rsid w:val="48321287"/>
    <w:rsid w:val="484A499B"/>
    <w:rsid w:val="486C49B0"/>
    <w:rsid w:val="4A9C6EBF"/>
    <w:rsid w:val="4ACC7DBB"/>
    <w:rsid w:val="4AFF5FAF"/>
    <w:rsid w:val="4B817F88"/>
    <w:rsid w:val="4BA608E8"/>
    <w:rsid w:val="4BC10A69"/>
    <w:rsid w:val="4BCB0F4B"/>
    <w:rsid w:val="4BF076A6"/>
    <w:rsid w:val="4C8C73CE"/>
    <w:rsid w:val="4CEC28DA"/>
    <w:rsid w:val="4CFE5DF2"/>
    <w:rsid w:val="4D3A1520"/>
    <w:rsid w:val="4DA22C22"/>
    <w:rsid w:val="4DBB2BD9"/>
    <w:rsid w:val="4DF3347D"/>
    <w:rsid w:val="4E5F4729"/>
    <w:rsid w:val="4EE9189F"/>
    <w:rsid w:val="4F4C1097"/>
    <w:rsid w:val="4F8E7901"/>
    <w:rsid w:val="4FA65C1D"/>
    <w:rsid w:val="501C0736"/>
    <w:rsid w:val="50630D8E"/>
    <w:rsid w:val="51E97071"/>
    <w:rsid w:val="520B3C6B"/>
    <w:rsid w:val="52426C5E"/>
    <w:rsid w:val="52C04276"/>
    <w:rsid w:val="53B37F48"/>
    <w:rsid w:val="53EE4E13"/>
    <w:rsid w:val="54FA7A9E"/>
    <w:rsid w:val="55256273"/>
    <w:rsid w:val="55535184"/>
    <w:rsid w:val="5558730C"/>
    <w:rsid w:val="55926C87"/>
    <w:rsid w:val="55983288"/>
    <w:rsid w:val="55C12D06"/>
    <w:rsid w:val="55CF5DA5"/>
    <w:rsid w:val="55D75763"/>
    <w:rsid w:val="560E6CE1"/>
    <w:rsid w:val="56215B1D"/>
    <w:rsid w:val="562E599A"/>
    <w:rsid w:val="568331A4"/>
    <w:rsid w:val="56C65BD3"/>
    <w:rsid w:val="56CB4CE1"/>
    <w:rsid w:val="56D26326"/>
    <w:rsid w:val="56D4209E"/>
    <w:rsid w:val="57C52116"/>
    <w:rsid w:val="5875340D"/>
    <w:rsid w:val="594F0101"/>
    <w:rsid w:val="59BC506B"/>
    <w:rsid w:val="59DF76D7"/>
    <w:rsid w:val="59E40C5A"/>
    <w:rsid w:val="59E56370"/>
    <w:rsid w:val="59E7658C"/>
    <w:rsid w:val="5A513A05"/>
    <w:rsid w:val="5A724A11"/>
    <w:rsid w:val="5A8E2EAB"/>
    <w:rsid w:val="5A9949BD"/>
    <w:rsid w:val="5AD05272"/>
    <w:rsid w:val="5ADE5A0B"/>
    <w:rsid w:val="5B555777"/>
    <w:rsid w:val="5BC86423"/>
    <w:rsid w:val="5BF46D3E"/>
    <w:rsid w:val="5C164F06"/>
    <w:rsid w:val="5D2D075A"/>
    <w:rsid w:val="5D645056"/>
    <w:rsid w:val="5DCF7A63"/>
    <w:rsid w:val="5DED1311"/>
    <w:rsid w:val="5E0744EC"/>
    <w:rsid w:val="5E146A5A"/>
    <w:rsid w:val="60235E44"/>
    <w:rsid w:val="60471B32"/>
    <w:rsid w:val="60DE4A28"/>
    <w:rsid w:val="60F35085"/>
    <w:rsid w:val="620E3DBB"/>
    <w:rsid w:val="62B114E5"/>
    <w:rsid w:val="631F22F8"/>
    <w:rsid w:val="634821C8"/>
    <w:rsid w:val="63526405"/>
    <w:rsid w:val="63706486"/>
    <w:rsid w:val="63BB49CD"/>
    <w:rsid w:val="640F6E0B"/>
    <w:rsid w:val="647C5B23"/>
    <w:rsid w:val="64964A96"/>
    <w:rsid w:val="64FB2EEB"/>
    <w:rsid w:val="654900FB"/>
    <w:rsid w:val="65571728"/>
    <w:rsid w:val="6560706A"/>
    <w:rsid w:val="65654544"/>
    <w:rsid w:val="65AB2B63"/>
    <w:rsid w:val="65BD4645"/>
    <w:rsid w:val="65E25E59"/>
    <w:rsid w:val="669F0762"/>
    <w:rsid w:val="66B9305E"/>
    <w:rsid w:val="66D439F4"/>
    <w:rsid w:val="66F253BE"/>
    <w:rsid w:val="671A51EF"/>
    <w:rsid w:val="6720247B"/>
    <w:rsid w:val="683F5106"/>
    <w:rsid w:val="68776D2D"/>
    <w:rsid w:val="68B93350"/>
    <w:rsid w:val="6A2D7FEB"/>
    <w:rsid w:val="6AF40B09"/>
    <w:rsid w:val="6B0E4AAC"/>
    <w:rsid w:val="6B6F1F3D"/>
    <w:rsid w:val="6B826114"/>
    <w:rsid w:val="6B9B51DC"/>
    <w:rsid w:val="6BBC4BAC"/>
    <w:rsid w:val="6BEA5A68"/>
    <w:rsid w:val="6C6E6699"/>
    <w:rsid w:val="6DB17DC0"/>
    <w:rsid w:val="6DB427D1"/>
    <w:rsid w:val="6E056B89"/>
    <w:rsid w:val="6EDC3D8E"/>
    <w:rsid w:val="6EDC5B3C"/>
    <w:rsid w:val="6EEE5899"/>
    <w:rsid w:val="6F743FC6"/>
    <w:rsid w:val="6FA50206"/>
    <w:rsid w:val="6FBE7A30"/>
    <w:rsid w:val="6FF42A24"/>
    <w:rsid w:val="70582F59"/>
    <w:rsid w:val="70E04929"/>
    <w:rsid w:val="7150636D"/>
    <w:rsid w:val="7190494A"/>
    <w:rsid w:val="72444124"/>
    <w:rsid w:val="72A8634B"/>
    <w:rsid w:val="730E04B9"/>
    <w:rsid w:val="731B11E1"/>
    <w:rsid w:val="735B1DDE"/>
    <w:rsid w:val="736E7EDA"/>
    <w:rsid w:val="739449FB"/>
    <w:rsid w:val="74085576"/>
    <w:rsid w:val="74982505"/>
    <w:rsid w:val="74C2787E"/>
    <w:rsid w:val="753348CC"/>
    <w:rsid w:val="75475CD9"/>
    <w:rsid w:val="7561323F"/>
    <w:rsid w:val="760065B4"/>
    <w:rsid w:val="760E3810"/>
    <w:rsid w:val="768371E5"/>
    <w:rsid w:val="76BF4F23"/>
    <w:rsid w:val="77003BA5"/>
    <w:rsid w:val="77042905"/>
    <w:rsid w:val="77C20E5D"/>
    <w:rsid w:val="781E1C75"/>
    <w:rsid w:val="78F97604"/>
    <w:rsid w:val="78FC4F0A"/>
    <w:rsid w:val="79246A5D"/>
    <w:rsid w:val="7A0304D2"/>
    <w:rsid w:val="7A251B8D"/>
    <w:rsid w:val="7A36248D"/>
    <w:rsid w:val="7AB05DB1"/>
    <w:rsid w:val="7B5A3ACE"/>
    <w:rsid w:val="7B8D6968"/>
    <w:rsid w:val="7C334606"/>
    <w:rsid w:val="7C52568F"/>
    <w:rsid w:val="7CA51C63"/>
    <w:rsid w:val="7D1D5DB9"/>
    <w:rsid w:val="7D293875"/>
    <w:rsid w:val="7DA568A7"/>
    <w:rsid w:val="7E4D6442"/>
    <w:rsid w:val="7EA06B86"/>
    <w:rsid w:val="7EAD1865"/>
    <w:rsid w:val="7EC64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 w:type="character" w:customStyle="1" w:styleId="19">
    <w:name w:val="font21"/>
    <w:basedOn w:val="8"/>
    <w:qFormat/>
    <w:uiPriority w:val="0"/>
    <w:rPr>
      <w:rFonts w:hint="eastAsia" w:ascii="新宋体" w:hAnsi="新宋体" w:eastAsia="新宋体" w:cs="新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1218</Words>
  <Characters>1486</Characters>
  <Lines>25</Lines>
  <Paragraphs>7</Paragraphs>
  <TotalTime>14</TotalTime>
  <ScaleCrop>false</ScaleCrop>
  <LinksUpToDate>false</LinksUpToDate>
  <CharactersWithSpaces>1522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2024-09-10T01:57:00Z</cp:lastPrinted>
  <dcterms:modified xsi:type="dcterms:W3CDTF">2025-01-10T02:21:47Z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CFB8C9887B9C4BDFB4955C7E574ECB09_13</vt:lpwstr>
  </property>
  <property fmtid="{D5CDD505-2E9C-101B-9397-08002B2CF9AE}" pid="4" name="commondata">
    <vt:lpwstr>eyJoZGlkIjoiYTQ0ZWM0MDkxZGVlMDc2MGI3OTc3NGE1ZGI1ZGU5OTkifQ==</vt:lpwstr>
  </property>
  <property fmtid="{D5CDD505-2E9C-101B-9397-08002B2CF9AE}" pid="5" name="KSOTemplateDocerSaveRecord">
    <vt:lpwstr>eyJoZGlkIjoiMjNlZWE4M2YwZDE0MDgyNDU0ODBkZmYwOGNhMmEyNDIiLCJ1c2VySWQiOiI2NTMxNjE2NzcifQ==</vt:lpwstr>
  </property>
</Properties>
</file>