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4940">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381213C9">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5BB24D4F">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09DBF062">
      <w:pPr>
        <w:spacing w:afterLines="50" w:line="360" w:lineRule="auto"/>
        <w:jc w:val="center"/>
        <w:rPr>
          <w:rFonts w:hint="eastAsia" w:ascii="仿宋" w:hAnsi="仿宋" w:eastAsia="仿宋" w:cs="Times New Roman"/>
          <w:b/>
          <w:bCs/>
          <w:color w:val="000000" w:themeColor="text1"/>
          <w:sz w:val="60"/>
          <w:szCs w:val="32"/>
          <w:lang w:eastAsia="zh-CN"/>
          <w14:textFill>
            <w14:solidFill>
              <w14:schemeClr w14:val="tx1"/>
            </w14:solidFill>
          </w14:textFill>
        </w:rPr>
      </w:pPr>
      <w:r>
        <w:rPr>
          <w:rFonts w:hint="eastAsia" w:ascii="仿宋" w:hAnsi="仿宋" w:eastAsia="仿宋" w:cs="Times New Roman"/>
          <w:b/>
          <w:bCs/>
          <w:color w:val="000000" w:themeColor="text1"/>
          <w:sz w:val="60"/>
          <w:szCs w:val="32"/>
          <w:lang w:eastAsia="zh-CN"/>
          <w14:textFill>
            <w14:solidFill>
              <w14:schemeClr w14:val="tx1"/>
            </w14:solidFill>
          </w14:textFill>
        </w:rPr>
        <w:t>吉安市中心人民医院全院药品溯源管理系统项目</w:t>
      </w:r>
    </w:p>
    <w:p w14:paraId="36DD9106">
      <w:pPr>
        <w:spacing w:afterLines="50" w:line="360" w:lineRule="auto"/>
        <w:jc w:val="center"/>
        <w:rPr>
          <w:rFonts w:hint="eastAsia" w:ascii="仿宋" w:hAnsi="仿宋" w:eastAsia="仿宋" w:cs="Times New Roman"/>
          <w:b/>
          <w:bCs/>
          <w:color w:val="000000" w:themeColor="text1"/>
          <w:sz w:val="60"/>
          <w:szCs w:val="32"/>
          <w14:textFill>
            <w14:solidFill>
              <w14:schemeClr w14:val="tx1"/>
            </w14:solidFill>
          </w14:textFill>
        </w:rPr>
      </w:pPr>
      <w:r>
        <w:rPr>
          <w:rFonts w:hint="eastAsia" w:ascii="仿宋" w:hAnsi="仿宋" w:eastAsia="仿宋" w:cs="Times New Roman"/>
          <w:b/>
          <w:bCs/>
          <w:color w:val="000000" w:themeColor="text1"/>
          <w:sz w:val="60"/>
          <w:szCs w:val="32"/>
          <w:lang w:eastAsia="zh-CN"/>
          <w14:textFill>
            <w14:solidFill>
              <w14:schemeClr w14:val="tx1"/>
            </w14:solidFill>
          </w14:textFill>
        </w:rPr>
        <w:t>询比</w:t>
      </w:r>
      <w:r>
        <w:rPr>
          <w:rFonts w:hint="eastAsia" w:ascii="仿宋" w:hAnsi="仿宋" w:eastAsia="仿宋" w:cs="Times New Roman"/>
          <w:b/>
          <w:bCs/>
          <w:color w:val="000000" w:themeColor="text1"/>
          <w:sz w:val="60"/>
          <w:szCs w:val="32"/>
          <w14:textFill>
            <w14:solidFill>
              <w14:schemeClr w14:val="tx1"/>
            </w14:solidFill>
          </w14:textFill>
        </w:rPr>
        <w:t>文件</w:t>
      </w:r>
    </w:p>
    <w:p w14:paraId="348226A2">
      <w:pPr>
        <w:spacing w:afterLines="50" w:line="360" w:lineRule="auto"/>
        <w:jc w:val="center"/>
        <w:rPr>
          <w:rFonts w:hint="eastAsia" w:ascii="仿宋" w:hAnsi="仿宋" w:eastAsia="仿宋" w:cs="Times New Roman"/>
          <w:b/>
          <w:bCs/>
          <w:color w:val="000000" w:themeColor="text1"/>
          <w:sz w:val="28"/>
          <w:szCs w:val="28"/>
          <w:lang w:eastAsia="zh-CN"/>
          <w14:textFill>
            <w14:solidFill>
              <w14:schemeClr w14:val="tx1"/>
            </w14:solidFill>
          </w14:textFill>
        </w:rPr>
      </w:pPr>
      <w:r>
        <w:rPr>
          <w:rFonts w:hint="eastAsia" w:ascii="仿宋" w:hAnsi="仿宋" w:eastAsia="仿宋" w:cs="Times New Roman"/>
          <w:b/>
          <w:bCs/>
          <w:color w:val="000000" w:themeColor="text1"/>
          <w:sz w:val="32"/>
          <w:szCs w:val="32"/>
          <w:lang w:eastAsia="zh-CN"/>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项目编号：JXTC2025060075</w:t>
      </w:r>
      <w:r>
        <w:rPr>
          <w:rFonts w:hint="eastAsia" w:ascii="仿宋" w:hAnsi="仿宋" w:eastAsia="仿宋" w:cs="Times New Roman"/>
          <w:b/>
          <w:bCs/>
          <w:color w:val="000000" w:themeColor="text1"/>
          <w:sz w:val="32"/>
          <w:szCs w:val="32"/>
          <w:lang w:eastAsia="zh-CN"/>
          <w14:textFill>
            <w14:solidFill>
              <w14:schemeClr w14:val="tx1"/>
            </w14:solidFill>
          </w14:textFill>
        </w:rPr>
        <w:t>）</w:t>
      </w:r>
    </w:p>
    <w:p w14:paraId="65877FAE">
      <w:pPr>
        <w:spacing w:afterLines="50" w:line="360" w:lineRule="auto"/>
        <w:jc w:val="center"/>
        <w:rPr>
          <w:rFonts w:ascii="仿宋" w:hAnsi="仿宋" w:eastAsia="仿宋" w:cs="Times New Roman"/>
          <w:b/>
          <w:bCs/>
          <w:color w:val="000000" w:themeColor="text1"/>
          <w:sz w:val="52"/>
          <w:szCs w:val="24"/>
          <w14:textFill>
            <w14:solidFill>
              <w14:schemeClr w14:val="tx1"/>
            </w14:solidFill>
          </w14:textFill>
        </w:rPr>
      </w:pPr>
    </w:p>
    <w:p w14:paraId="1E9A709B">
      <w:pPr>
        <w:spacing w:line="400" w:lineRule="exact"/>
        <w:ind w:right="27" w:rightChars="13"/>
        <w:jc w:val="left"/>
        <w:rPr>
          <w:rFonts w:ascii="仿宋" w:hAnsi="仿宋" w:eastAsia="仿宋" w:cs="Times New Roman"/>
          <w:b/>
          <w:bCs/>
          <w:color w:val="000000" w:themeColor="text1"/>
          <w:sz w:val="52"/>
          <w:szCs w:val="24"/>
          <w14:textFill>
            <w14:solidFill>
              <w14:schemeClr w14:val="tx1"/>
            </w14:solidFill>
          </w14:textFill>
        </w:rPr>
      </w:pPr>
    </w:p>
    <w:p w14:paraId="3DC08DF2">
      <w:pPr>
        <w:spacing w:afterLines="50" w:line="360" w:lineRule="auto"/>
        <w:jc w:val="center"/>
        <w:rPr>
          <w:rFonts w:ascii="仿宋" w:hAnsi="仿宋" w:eastAsia="仿宋" w:cs="Times New Roman"/>
          <w:b/>
          <w:bCs/>
          <w:color w:val="000000" w:themeColor="text1"/>
          <w:sz w:val="52"/>
          <w:szCs w:val="24"/>
          <w14:textFill>
            <w14:solidFill>
              <w14:schemeClr w14:val="tx1"/>
            </w14:solidFill>
          </w14:textFill>
        </w:rPr>
      </w:pPr>
    </w:p>
    <w:p w14:paraId="30DC7A79">
      <w:pPr>
        <w:spacing w:afterLines="50" w:line="360" w:lineRule="auto"/>
        <w:jc w:val="center"/>
        <w:rPr>
          <w:rFonts w:ascii="仿宋" w:hAnsi="仿宋" w:eastAsia="仿宋" w:cs="Times New Roman"/>
          <w:b/>
          <w:bCs/>
          <w:color w:val="000000" w:themeColor="text1"/>
          <w:sz w:val="36"/>
          <w:szCs w:val="24"/>
          <w14:textFill>
            <w14:solidFill>
              <w14:schemeClr w14:val="tx1"/>
            </w14:solidFill>
          </w14:textFill>
        </w:rPr>
      </w:pPr>
      <w:r>
        <w:rPr>
          <w:rFonts w:hint="eastAsia" w:ascii="仿宋" w:hAnsi="仿宋" w:eastAsia="仿宋" w:cs="Times New Roman"/>
          <w:b/>
          <w:bCs/>
          <w:color w:val="000000" w:themeColor="text1"/>
          <w:sz w:val="36"/>
          <w:szCs w:val="24"/>
          <w14:textFill>
            <w14:solidFill>
              <w14:schemeClr w14:val="tx1"/>
            </w14:solidFill>
          </w14:textFill>
        </w:rPr>
        <w:t>江西省机电设备招标有限公司</w:t>
      </w:r>
    </w:p>
    <w:p w14:paraId="69978059">
      <w:pPr>
        <w:spacing w:line="400" w:lineRule="exact"/>
        <w:ind w:right="27" w:rightChars="13"/>
        <w:jc w:val="center"/>
        <w:rPr>
          <w:rFonts w:hint="default" w:ascii="仿宋" w:hAnsi="仿宋" w:eastAsia="仿宋" w:cs="Times New Roman"/>
          <w:b/>
          <w:bCs/>
          <w:color w:val="000000" w:themeColor="text1"/>
          <w:sz w:val="36"/>
          <w:szCs w:val="24"/>
          <w:lang w:val="en-US" w:eastAsia="zh-CN"/>
          <w14:textFill>
            <w14:solidFill>
              <w14:schemeClr w14:val="tx1"/>
            </w14:solidFill>
          </w14:textFill>
        </w:rPr>
      </w:pPr>
      <w:r>
        <w:rPr>
          <w:rFonts w:hint="eastAsia" w:ascii="仿宋" w:hAnsi="仿宋" w:eastAsia="仿宋" w:cs="Times New Roman"/>
          <w:b/>
          <w:bCs/>
          <w:color w:val="000000" w:themeColor="text1"/>
          <w:sz w:val="36"/>
          <w:szCs w:val="24"/>
          <w:lang w:val="en-US" w:eastAsia="zh-CN"/>
          <w14:textFill>
            <w14:solidFill>
              <w14:schemeClr w14:val="tx1"/>
            </w14:solidFill>
          </w14:textFill>
        </w:rPr>
        <w:t>中国·南昌</w:t>
      </w:r>
    </w:p>
    <w:p w14:paraId="61668D74">
      <w:pPr>
        <w:spacing w:line="400" w:lineRule="exact"/>
        <w:ind w:right="27" w:rightChars="13"/>
        <w:jc w:val="center"/>
        <w:rPr>
          <w:rFonts w:ascii="仿宋" w:hAnsi="仿宋" w:eastAsia="仿宋" w:cs="Times New Roman"/>
          <w:b/>
          <w:bCs/>
          <w:color w:val="000000" w:themeColor="text1"/>
          <w:sz w:val="36"/>
          <w:szCs w:val="24"/>
          <w14:textFill>
            <w14:solidFill>
              <w14:schemeClr w14:val="tx1"/>
            </w14:solidFill>
          </w14:textFill>
        </w:rPr>
        <w:sectPr>
          <w:footerReference r:id="rId3" w:type="default"/>
          <w:pgSz w:w="11906" w:h="16838"/>
          <w:pgMar w:top="1440" w:right="1800" w:bottom="1440" w:left="1800" w:header="851" w:footer="992" w:gutter="0"/>
          <w:cols w:space="0" w:num="1"/>
          <w:docGrid w:type="lines" w:linePitch="326" w:charSpace="0"/>
        </w:sectPr>
      </w:pPr>
    </w:p>
    <w:p w14:paraId="38E89B7C">
      <w:pPr>
        <w:spacing w:line="400" w:lineRule="exact"/>
        <w:ind w:right="27" w:rightChars="13" w:firstLine="3840" w:firstLineChars="1600"/>
        <w:jc w:val="right"/>
        <w:rPr>
          <w:rFonts w:ascii="仿宋" w:hAnsi="仿宋" w:eastAsia="仿宋" w:cs="Times New Roman"/>
          <w:bCs/>
          <w:color w:val="000000" w:themeColor="text1"/>
          <w:sz w:val="24"/>
          <w:szCs w:val="24"/>
          <w14:textFill>
            <w14:solidFill>
              <w14:schemeClr w14:val="tx1"/>
            </w14:solidFill>
          </w14:textFill>
        </w:rPr>
      </w:pPr>
    </w:p>
    <w:p w14:paraId="0904BBAA">
      <w:pPr>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目录</w:t>
      </w:r>
    </w:p>
    <w:p w14:paraId="127610FA">
      <w:pPr>
        <w:pStyle w:val="25"/>
        <w:tabs>
          <w:tab w:val="right" w:leader="dot" w:pos="8312"/>
        </w:tabs>
      </w:pPr>
      <w:r>
        <w:rPr>
          <w:rFonts w:ascii="仿宋" w:hAnsi="仿宋"/>
          <w:color w:val="000000" w:themeColor="text1"/>
          <w:sz w:val="18"/>
          <w14:textFill>
            <w14:solidFill>
              <w14:schemeClr w14:val="tx1"/>
            </w14:solidFill>
          </w14:textFill>
        </w:rPr>
        <w:fldChar w:fldCharType="begin"/>
      </w:r>
      <w:r>
        <w:rPr>
          <w:rFonts w:ascii="仿宋" w:hAnsi="仿宋"/>
          <w:color w:val="000000" w:themeColor="text1"/>
          <w:sz w:val="18"/>
          <w14:textFill>
            <w14:solidFill>
              <w14:schemeClr w14:val="tx1"/>
            </w14:solidFill>
          </w14:textFill>
        </w:rPr>
        <w:instrText xml:space="preserve">TOC \o "1-2" \h \u </w:instrText>
      </w:r>
      <w:r>
        <w:rPr>
          <w:rFonts w:ascii="仿宋" w:hAnsi="仿宋"/>
          <w:color w:val="000000" w:themeColor="text1"/>
          <w:sz w:val="18"/>
          <w14:textFill>
            <w14:solidFill>
              <w14:schemeClr w14:val="tx1"/>
            </w14:solidFill>
          </w14:textFill>
        </w:rPr>
        <w:fldChar w:fldCharType="separate"/>
      </w:r>
      <w:r>
        <w:rPr>
          <w:rFonts w:ascii="仿宋" w:hAnsi="仿宋"/>
          <w:color w:val="000000" w:themeColor="text1"/>
          <w14:textFill>
            <w14:solidFill>
              <w14:schemeClr w14:val="tx1"/>
            </w14:solidFill>
          </w14:textFill>
        </w:rPr>
        <w:fldChar w:fldCharType="begin"/>
      </w:r>
      <w:r>
        <w:rPr>
          <w:rFonts w:ascii="仿宋" w:hAnsi="仿宋"/>
        </w:rPr>
        <w:instrText xml:space="preserve"> HYPERLINK \l _Toc26804 </w:instrText>
      </w:r>
      <w:r>
        <w:rPr>
          <w:rFonts w:ascii="仿宋" w:hAnsi="仿宋"/>
        </w:rPr>
        <w:fldChar w:fldCharType="separate"/>
      </w:r>
      <w:r>
        <w:rPr>
          <w:rFonts w:hint="eastAsia"/>
          <w:szCs w:val="44"/>
        </w:rPr>
        <w:t xml:space="preserve">第一部分 </w:t>
      </w:r>
      <w:r>
        <w:rPr>
          <w:rFonts w:hint="eastAsia" w:ascii="仿宋" w:hAnsi="仿宋"/>
          <w:szCs w:val="44"/>
          <w:lang w:eastAsia="zh-CN"/>
        </w:rPr>
        <w:t>询比</w:t>
      </w:r>
      <w:r>
        <w:rPr>
          <w:rFonts w:hint="eastAsia" w:ascii="仿宋" w:hAnsi="仿宋"/>
          <w:szCs w:val="44"/>
        </w:rPr>
        <w:t>公告</w:t>
      </w:r>
      <w:r>
        <w:tab/>
      </w:r>
      <w:r>
        <w:fldChar w:fldCharType="begin"/>
      </w:r>
      <w:r>
        <w:instrText xml:space="preserve"> PAGEREF _Toc26804 \h </w:instrText>
      </w:r>
      <w:r>
        <w:fldChar w:fldCharType="separate"/>
      </w:r>
      <w:r>
        <w:t>1</w:t>
      </w:r>
      <w:r>
        <w:fldChar w:fldCharType="end"/>
      </w:r>
      <w:r>
        <w:rPr>
          <w:rFonts w:ascii="仿宋" w:hAnsi="仿宋"/>
          <w:color w:val="000000" w:themeColor="text1"/>
          <w14:textFill>
            <w14:solidFill>
              <w14:schemeClr w14:val="tx1"/>
            </w14:solidFill>
          </w14:textFill>
        </w:rPr>
        <w:fldChar w:fldCharType="end"/>
      </w:r>
    </w:p>
    <w:p w14:paraId="23637948">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_Toc13401 </w:instrText>
      </w:r>
      <w:r>
        <w:rPr>
          <w:rFonts w:ascii="仿宋" w:hAnsi="仿宋" w:eastAsia="仿宋" w:cs="Times New Roman"/>
          <w:szCs w:val="24"/>
        </w:rPr>
        <w:fldChar w:fldCharType="separate"/>
      </w:r>
      <w:r>
        <w:rPr>
          <w:rFonts w:hint="eastAsia"/>
          <w:lang w:val="en-US" w:eastAsia="zh-CN"/>
        </w:rPr>
        <w:t>一、</w:t>
      </w:r>
      <w:r>
        <w:rPr>
          <w:rFonts w:hint="eastAsia"/>
        </w:rPr>
        <w:t>项目概况</w:t>
      </w:r>
      <w:r>
        <w:tab/>
      </w:r>
      <w:r>
        <w:fldChar w:fldCharType="begin"/>
      </w:r>
      <w:r>
        <w:instrText xml:space="preserve"> PAGEREF _Toc13401 \h </w:instrText>
      </w:r>
      <w:r>
        <w:fldChar w:fldCharType="separate"/>
      </w:r>
      <w:r>
        <w:t>1</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97F8792">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_Toc6945 </w:instrText>
      </w:r>
      <w:r>
        <w:rPr>
          <w:rFonts w:ascii="仿宋" w:hAnsi="仿宋" w:eastAsia="仿宋" w:cs="Times New Roman"/>
          <w:szCs w:val="24"/>
        </w:rPr>
        <w:fldChar w:fldCharType="separate"/>
      </w:r>
      <w:r>
        <w:rPr>
          <w:rFonts w:hint="eastAsia" w:cs="Times New Roman"/>
          <w:lang w:val="en-US" w:eastAsia="zh-CN"/>
        </w:rPr>
        <w:t>二、</w:t>
      </w:r>
      <w:r>
        <w:rPr>
          <w:rFonts w:hint="eastAsia" w:cs="Times New Roman"/>
          <w:lang w:val="en-GB" w:eastAsia="zh-CN"/>
        </w:rPr>
        <w:t>询比响应供应商</w:t>
      </w:r>
      <w:r>
        <w:rPr>
          <w:rFonts w:hint="eastAsia" w:cs="Times New Roman"/>
          <w:lang w:val="en-GB"/>
        </w:rPr>
        <w:t>资格要求</w:t>
      </w:r>
      <w:r>
        <w:tab/>
      </w:r>
      <w:r>
        <w:fldChar w:fldCharType="begin"/>
      </w:r>
      <w:r>
        <w:instrText xml:space="preserve"> PAGEREF _Toc6945 \h </w:instrText>
      </w:r>
      <w:r>
        <w:fldChar w:fldCharType="separate"/>
      </w:r>
      <w:r>
        <w:t>1</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6EA118BC">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_Toc25041 </w:instrText>
      </w:r>
      <w:r>
        <w:rPr>
          <w:rFonts w:ascii="仿宋" w:hAnsi="仿宋" w:eastAsia="仿宋" w:cs="Times New Roman"/>
          <w:szCs w:val="24"/>
        </w:rPr>
        <w:fldChar w:fldCharType="separate"/>
      </w:r>
      <w:r>
        <w:rPr>
          <w:rFonts w:hint="eastAsia"/>
          <w:lang w:val="en-US" w:eastAsia="zh-CN"/>
        </w:rPr>
        <w:t>三、</w:t>
      </w:r>
      <w:r>
        <w:rPr>
          <w:rFonts w:hint="eastAsia"/>
        </w:rPr>
        <w:t>获取</w:t>
      </w:r>
      <w:r>
        <w:rPr>
          <w:rFonts w:hint="eastAsia"/>
          <w:lang w:eastAsia="zh-CN"/>
        </w:rPr>
        <w:t>询比</w:t>
      </w:r>
      <w:r>
        <w:rPr>
          <w:rFonts w:hint="eastAsia"/>
        </w:rPr>
        <w:t>文件时间、地点</w:t>
      </w:r>
      <w:r>
        <w:tab/>
      </w:r>
      <w:r>
        <w:fldChar w:fldCharType="begin"/>
      </w:r>
      <w:r>
        <w:instrText xml:space="preserve"> PAGEREF _Toc25041 \h </w:instrText>
      </w:r>
      <w:r>
        <w:fldChar w:fldCharType="separate"/>
      </w:r>
      <w:r>
        <w:t>2</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B0704B6">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_Toc21530 </w:instrText>
      </w:r>
      <w:r>
        <w:rPr>
          <w:rFonts w:ascii="仿宋" w:hAnsi="仿宋" w:eastAsia="仿宋" w:cs="Times New Roman"/>
          <w:szCs w:val="24"/>
        </w:rPr>
        <w:fldChar w:fldCharType="separate"/>
      </w:r>
      <w:r>
        <w:rPr>
          <w:rFonts w:hint="eastAsia"/>
          <w:lang w:val="en-US" w:eastAsia="zh-CN"/>
        </w:rPr>
        <w:t>四、</w:t>
      </w:r>
      <w:r>
        <w:rPr>
          <w:rFonts w:hint="eastAsia"/>
        </w:rPr>
        <w:t>递交</w:t>
      </w:r>
      <w:r>
        <w:rPr>
          <w:rFonts w:hint="eastAsia"/>
          <w:lang w:eastAsia="zh-CN"/>
        </w:rPr>
        <w:t>询比响应文件</w:t>
      </w:r>
      <w:r>
        <w:rPr>
          <w:rFonts w:hint="eastAsia"/>
        </w:rPr>
        <w:t>时间、地点</w:t>
      </w:r>
      <w:r>
        <w:tab/>
      </w:r>
      <w:r>
        <w:fldChar w:fldCharType="begin"/>
      </w:r>
      <w:r>
        <w:instrText xml:space="preserve"> PAGEREF _Toc21530 \h </w:instrText>
      </w:r>
      <w:r>
        <w:fldChar w:fldCharType="separate"/>
      </w:r>
      <w:r>
        <w:t>2</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33A3A489">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_Toc17376 </w:instrText>
      </w:r>
      <w:r>
        <w:rPr>
          <w:rFonts w:ascii="仿宋" w:hAnsi="仿宋" w:eastAsia="仿宋" w:cs="Times New Roman"/>
          <w:szCs w:val="24"/>
        </w:rPr>
        <w:fldChar w:fldCharType="separate"/>
      </w:r>
      <w:r>
        <w:rPr>
          <w:rFonts w:hint="eastAsia"/>
          <w:lang w:val="en-US" w:eastAsia="zh-CN"/>
        </w:rPr>
        <w:t>五、</w:t>
      </w:r>
      <w:r>
        <w:rPr>
          <w:rFonts w:hint="eastAsia"/>
          <w:lang w:eastAsia="zh-CN"/>
        </w:rPr>
        <w:t>询比</w:t>
      </w:r>
      <w:r>
        <w:rPr>
          <w:rFonts w:hint="eastAsia"/>
        </w:rPr>
        <w:t>保证金及费用</w:t>
      </w:r>
      <w:r>
        <w:tab/>
      </w:r>
      <w:r>
        <w:fldChar w:fldCharType="begin"/>
      </w:r>
      <w:r>
        <w:instrText xml:space="preserve"> PAGEREF _Toc17376 \h </w:instrText>
      </w:r>
      <w:r>
        <w:fldChar w:fldCharType="separate"/>
      </w:r>
      <w:r>
        <w:t>3</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618BE785">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_Toc5023 </w:instrText>
      </w:r>
      <w:r>
        <w:rPr>
          <w:rFonts w:ascii="仿宋" w:hAnsi="仿宋" w:eastAsia="仿宋" w:cs="Times New Roman"/>
          <w:szCs w:val="24"/>
        </w:rPr>
        <w:fldChar w:fldCharType="separate"/>
      </w:r>
      <w:r>
        <w:rPr>
          <w:rFonts w:hint="eastAsia"/>
          <w:lang w:val="en-US" w:eastAsia="zh-CN"/>
        </w:rPr>
        <w:t>六</w:t>
      </w:r>
      <w:r>
        <w:rPr>
          <w:rFonts w:hint="eastAsia"/>
        </w:rPr>
        <w:t>、联系方式</w:t>
      </w:r>
      <w:r>
        <w:tab/>
      </w:r>
      <w:r>
        <w:fldChar w:fldCharType="begin"/>
      </w:r>
      <w:r>
        <w:instrText xml:space="preserve"> PAGEREF _Toc5023 \h </w:instrText>
      </w:r>
      <w:r>
        <w:fldChar w:fldCharType="separate"/>
      </w:r>
      <w:r>
        <w:t>3</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3953733E">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_Toc11873 </w:instrText>
      </w:r>
      <w:r>
        <w:rPr>
          <w:rFonts w:ascii="仿宋" w:hAnsi="仿宋" w:eastAsia="仿宋" w:cs="Times New Roman"/>
          <w:szCs w:val="24"/>
        </w:rPr>
        <w:fldChar w:fldCharType="separate"/>
      </w:r>
      <w:r>
        <w:rPr>
          <w:rFonts w:hint="eastAsia" w:ascii="仿宋" w:hAnsi="仿宋"/>
          <w:szCs w:val="44"/>
        </w:rPr>
        <w:t>第二部分 项目需求</w:t>
      </w:r>
      <w:r>
        <w:tab/>
      </w:r>
      <w:r>
        <w:fldChar w:fldCharType="begin"/>
      </w:r>
      <w:r>
        <w:instrText xml:space="preserve"> PAGEREF _Toc11873 \h </w:instrText>
      </w:r>
      <w:r>
        <w:fldChar w:fldCharType="separate"/>
      </w:r>
      <w:r>
        <w:t>5</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C12AF46">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_Toc19084 </w:instrText>
      </w:r>
      <w:r>
        <w:rPr>
          <w:rFonts w:ascii="仿宋" w:hAnsi="仿宋" w:eastAsia="仿宋" w:cs="Times New Roman"/>
          <w:szCs w:val="24"/>
        </w:rPr>
        <w:fldChar w:fldCharType="separate"/>
      </w:r>
      <w:r>
        <w:rPr>
          <w:rFonts w:hint="eastAsia" w:ascii="仿宋" w:hAnsi="仿宋" w:eastAsia="仿宋" w:cs="仿宋"/>
          <w:bCs/>
          <w:kern w:val="0"/>
          <w:szCs w:val="30"/>
          <w:lang w:val="en-US" w:eastAsia="zh-CN" w:bidi="ar"/>
        </w:rPr>
        <w:t>一、服务要求</w:t>
      </w:r>
      <w:r>
        <w:tab/>
      </w:r>
      <w:r>
        <w:fldChar w:fldCharType="begin"/>
      </w:r>
      <w:r>
        <w:instrText xml:space="preserve"> PAGEREF _Toc19084 \h </w:instrText>
      </w:r>
      <w:r>
        <w:fldChar w:fldCharType="separate"/>
      </w:r>
      <w:r>
        <w:t>5</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12473C69">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_Toc20841 </w:instrText>
      </w:r>
      <w:r>
        <w:rPr>
          <w:rFonts w:ascii="仿宋" w:hAnsi="仿宋" w:eastAsia="仿宋" w:cs="Times New Roman"/>
          <w:szCs w:val="24"/>
        </w:rPr>
        <w:fldChar w:fldCharType="separate"/>
      </w:r>
      <w:r>
        <w:rPr>
          <w:rFonts w:hint="eastAsia" w:ascii="仿宋" w:hAnsi="仿宋" w:eastAsia="仿宋" w:cs="仿宋"/>
          <w:bCs/>
          <w:kern w:val="0"/>
          <w:szCs w:val="30"/>
          <w:lang w:val="en-US" w:eastAsia="zh-CN" w:bidi="ar"/>
        </w:rPr>
        <w:t>二、商务条款</w:t>
      </w:r>
      <w:r>
        <w:tab/>
      </w:r>
      <w:r>
        <w:fldChar w:fldCharType="begin"/>
      </w:r>
      <w:r>
        <w:instrText xml:space="preserve"> PAGEREF _Toc20841 \h </w:instrText>
      </w:r>
      <w:r>
        <w:fldChar w:fldCharType="separate"/>
      </w:r>
      <w:r>
        <w:t>17</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3DC88EDB">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_Toc2215 </w:instrText>
      </w:r>
      <w:r>
        <w:rPr>
          <w:rFonts w:ascii="仿宋" w:hAnsi="仿宋" w:eastAsia="仿宋" w:cs="Times New Roman"/>
          <w:szCs w:val="24"/>
        </w:rPr>
        <w:fldChar w:fldCharType="separate"/>
      </w:r>
      <w:r>
        <w:rPr>
          <w:rFonts w:hint="eastAsia" w:ascii="仿宋" w:hAnsi="仿宋" w:eastAsia="仿宋" w:cs="Times New Roman"/>
          <w:bCs/>
          <w:kern w:val="44"/>
          <w:szCs w:val="44"/>
        </w:rPr>
        <w:t xml:space="preserve">第三部分 </w:t>
      </w:r>
      <w:r>
        <w:rPr>
          <w:rFonts w:hint="eastAsia" w:ascii="仿宋" w:hAnsi="仿宋" w:eastAsia="仿宋" w:cs="Times New Roman"/>
          <w:bCs/>
          <w:kern w:val="44"/>
          <w:szCs w:val="44"/>
          <w:lang w:eastAsia="zh-CN"/>
        </w:rPr>
        <w:t>询比</w:t>
      </w:r>
      <w:r>
        <w:rPr>
          <w:rFonts w:hint="eastAsia" w:ascii="仿宋" w:hAnsi="仿宋" w:eastAsia="仿宋" w:cs="Times New Roman"/>
          <w:bCs/>
          <w:kern w:val="44"/>
          <w:szCs w:val="44"/>
        </w:rPr>
        <w:t>须知</w:t>
      </w:r>
      <w:r>
        <w:tab/>
      </w:r>
      <w:r>
        <w:fldChar w:fldCharType="begin"/>
      </w:r>
      <w:r>
        <w:instrText xml:space="preserve"> PAGEREF _Toc2215 \h </w:instrText>
      </w:r>
      <w:r>
        <w:fldChar w:fldCharType="separate"/>
      </w:r>
      <w:r>
        <w:t>19</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32E75E6B">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_Toc9632 </w:instrText>
      </w:r>
      <w:r>
        <w:rPr>
          <w:rFonts w:ascii="仿宋" w:hAnsi="仿宋" w:eastAsia="仿宋" w:cs="Times New Roman"/>
          <w:szCs w:val="24"/>
        </w:rPr>
        <w:fldChar w:fldCharType="separate"/>
      </w:r>
      <w:r>
        <w:rPr>
          <w:rFonts w:hint="eastAsia" w:ascii="宋体" w:hAnsi="宋体" w:eastAsia="宋体" w:cs="宋体"/>
          <w:szCs w:val="44"/>
        </w:rPr>
        <w:t xml:space="preserve">第四部分 </w:t>
      </w:r>
      <w:r>
        <w:rPr>
          <w:rFonts w:hint="eastAsia" w:ascii="仿宋" w:hAnsi="仿宋"/>
          <w:szCs w:val="44"/>
        </w:rPr>
        <w:t>合同条款</w:t>
      </w:r>
      <w:r>
        <w:tab/>
      </w:r>
      <w:r>
        <w:fldChar w:fldCharType="begin"/>
      </w:r>
      <w:r>
        <w:instrText xml:space="preserve"> PAGEREF _Toc9632 \h </w:instrText>
      </w:r>
      <w:r>
        <w:fldChar w:fldCharType="separate"/>
      </w:r>
      <w:r>
        <w:t>23</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7E7B8E18">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_Toc21511 </w:instrText>
      </w:r>
      <w:r>
        <w:rPr>
          <w:rFonts w:ascii="仿宋" w:hAnsi="仿宋" w:eastAsia="仿宋" w:cs="Times New Roman"/>
          <w:szCs w:val="24"/>
        </w:rPr>
        <w:fldChar w:fldCharType="separate"/>
      </w:r>
      <w:r>
        <w:rPr>
          <w:rFonts w:hint="eastAsia" w:ascii="仿宋" w:hAnsi="仿宋"/>
          <w:szCs w:val="44"/>
        </w:rPr>
        <w:t xml:space="preserve">第五部分 </w:t>
      </w:r>
      <w:r>
        <w:rPr>
          <w:rFonts w:hint="eastAsia" w:ascii="仿宋" w:hAnsi="仿宋"/>
          <w:szCs w:val="44"/>
          <w:highlight w:val="none"/>
          <w:lang w:eastAsia="zh-CN"/>
        </w:rPr>
        <w:t>询比响应文件</w:t>
      </w:r>
      <w:r>
        <w:rPr>
          <w:rFonts w:hint="eastAsia" w:ascii="仿宋" w:hAnsi="仿宋"/>
          <w:szCs w:val="44"/>
          <w:highlight w:val="none"/>
        </w:rPr>
        <w:t>格式</w:t>
      </w:r>
      <w:r>
        <w:tab/>
      </w:r>
      <w:r>
        <w:fldChar w:fldCharType="begin"/>
      </w:r>
      <w:r>
        <w:instrText xml:space="preserve"> PAGEREF _Toc21511 \h </w:instrText>
      </w:r>
      <w:r>
        <w:fldChar w:fldCharType="separate"/>
      </w:r>
      <w:r>
        <w:t>27</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093E8978">
      <w:pPr>
        <w:jc w:val="left"/>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w:fldChar w:fldCharType="end"/>
      </w:r>
    </w:p>
    <w:p w14:paraId="0B864C56">
      <w:pPr>
        <w:pStyle w:val="3"/>
        <w:jc w:val="center"/>
        <w:rPr>
          <w:color w:val="000000" w:themeColor="text1"/>
          <w14:textFill>
            <w14:solidFill>
              <w14:schemeClr w14:val="tx1"/>
            </w14:solidFill>
          </w14:textFill>
        </w:rPr>
        <w:sectPr>
          <w:headerReference r:id="rId4" w:type="default"/>
          <w:footerReference r:id="rId5" w:type="default"/>
          <w:pgSz w:w="11906" w:h="16838"/>
          <w:pgMar w:top="1440" w:right="1797" w:bottom="1440" w:left="1797" w:header="851" w:footer="992" w:gutter="0"/>
          <w:pgNumType w:start="1"/>
          <w:cols w:space="425" w:num="1"/>
          <w:docGrid w:type="lines" w:linePitch="312" w:charSpace="0"/>
        </w:sectPr>
      </w:pPr>
    </w:p>
    <w:p w14:paraId="722E2512">
      <w:pPr>
        <w:pStyle w:val="3"/>
        <w:jc w:val="center"/>
        <w:rPr>
          <w:color w:val="000000" w:themeColor="text1"/>
          <w:sz w:val="44"/>
          <w:szCs w:val="44"/>
          <w14:textFill>
            <w14:solidFill>
              <w14:schemeClr w14:val="tx1"/>
            </w14:solidFill>
          </w14:textFill>
        </w:rPr>
      </w:pPr>
      <w:bookmarkStart w:id="0" w:name="_Toc26804"/>
      <w:r>
        <w:rPr>
          <w:rFonts w:hint="eastAsia" w:ascii="仿宋" w:hAnsi="仿宋"/>
          <w:color w:val="000000" w:themeColor="text1"/>
          <w:sz w:val="44"/>
          <w:szCs w:val="44"/>
          <w:lang w:eastAsia="zh-CN"/>
          <w14:textFill>
            <w14:solidFill>
              <w14:schemeClr w14:val="tx1"/>
            </w14:solidFill>
          </w14:textFill>
        </w:rPr>
        <w:t>询比</w:t>
      </w:r>
      <w:r>
        <w:rPr>
          <w:rFonts w:hint="eastAsia" w:ascii="仿宋" w:hAnsi="仿宋"/>
          <w:color w:val="000000" w:themeColor="text1"/>
          <w:sz w:val="44"/>
          <w:szCs w:val="44"/>
          <w14:textFill>
            <w14:solidFill>
              <w14:schemeClr w14:val="tx1"/>
            </w14:solidFill>
          </w14:textFill>
        </w:rPr>
        <w:t>公告</w:t>
      </w:r>
      <w:bookmarkEnd w:id="0"/>
      <w:bookmarkStart w:id="1" w:name="_Toc2327242"/>
    </w:p>
    <w:p w14:paraId="6E67B232">
      <w:pPr>
        <w:tabs>
          <w:tab w:val="left" w:pos="180"/>
          <w:tab w:val="left" w:pos="360"/>
          <w:tab w:val="left" w:pos="1440"/>
        </w:tabs>
        <w:spacing w:line="360" w:lineRule="auto"/>
        <w:ind w:firstLine="480" w:firstLineChars="200"/>
        <w:jc w:val="left"/>
        <w:rPr>
          <w:rFonts w:ascii="仿宋" w:hAnsi="仿宋" w:eastAsia="仿宋" w:cs="仿宋"/>
          <w:color w:val="000000" w:themeColor="text1"/>
          <w:sz w:val="24"/>
          <w:szCs w:val="24"/>
          <w:lang w:val="en-GB"/>
          <w14:textFill>
            <w14:solidFill>
              <w14:schemeClr w14:val="tx1"/>
            </w14:solidFill>
          </w14:textFill>
        </w:rPr>
      </w:pPr>
      <w:bookmarkStart w:id="2" w:name="_Toc181008463"/>
      <w:r>
        <w:rPr>
          <w:rFonts w:hint="eastAsia" w:ascii="仿宋" w:hAnsi="仿宋" w:eastAsia="仿宋" w:cs="仿宋"/>
          <w:color w:val="000000" w:themeColor="text1"/>
          <w:sz w:val="24"/>
          <w:szCs w:val="24"/>
          <w:lang w:val="en-GB"/>
          <w14:textFill>
            <w14:solidFill>
              <w14:schemeClr w14:val="tx1"/>
            </w14:solidFill>
          </w14:textFill>
        </w:rPr>
        <w:t>受</w:t>
      </w:r>
      <w:r>
        <w:rPr>
          <w:rFonts w:hint="eastAsia" w:ascii="仿宋" w:hAnsi="仿宋" w:eastAsia="仿宋" w:cs="仿宋"/>
          <w:color w:val="000000" w:themeColor="text1"/>
          <w:sz w:val="24"/>
          <w:szCs w:val="24"/>
          <w:lang w:val="en-GB" w:eastAsia="zh-CN"/>
          <w14:textFill>
            <w14:solidFill>
              <w14:schemeClr w14:val="tx1"/>
            </w14:solidFill>
          </w14:textFill>
        </w:rPr>
        <w:t>吉安市中心人民医院</w:t>
      </w:r>
      <w:r>
        <w:rPr>
          <w:rFonts w:hint="eastAsia" w:ascii="仿宋" w:hAnsi="仿宋" w:eastAsia="仿宋" w:cs="仿宋"/>
          <w:color w:val="000000" w:themeColor="text1"/>
          <w:sz w:val="24"/>
          <w:szCs w:val="24"/>
          <w:lang w:val="en-GB"/>
          <w14:textFill>
            <w14:solidFill>
              <w14:schemeClr w14:val="tx1"/>
            </w14:solidFill>
          </w14:textFill>
        </w:rPr>
        <w:t>（以下简称“</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lang w:val="en-GB"/>
          <w14:textFill>
            <w14:solidFill>
              <w14:schemeClr w14:val="tx1"/>
            </w14:solidFill>
          </w14:textFill>
        </w:rPr>
        <w:t>”）委托，江西省机电设备招标有限公司（以下简称“</w:t>
      </w:r>
      <w:r>
        <w:rPr>
          <w:rFonts w:hint="eastAsia" w:ascii="仿宋" w:hAnsi="仿宋" w:eastAsia="仿宋" w:cs="仿宋"/>
          <w:color w:val="000000" w:themeColor="text1"/>
          <w:sz w:val="24"/>
          <w:szCs w:val="24"/>
          <w:lang w:val="en-GB" w:eastAsia="zh-CN"/>
          <w14:textFill>
            <w14:solidFill>
              <w14:schemeClr w14:val="tx1"/>
            </w14:solidFill>
          </w14:textFill>
        </w:rPr>
        <w:t>代理机构</w:t>
      </w:r>
      <w:r>
        <w:rPr>
          <w:rFonts w:hint="eastAsia" w:ascii="仿宋" w:hAnsi="仿宋" w:eastAsia="仿宋" w:cs="仿宋"/>
          <w:color w:val="000000" w:themeColor="text1"/>
          <w:sz w:val="24"/>
          <w:szCs w:val="24"/>
          <w:lang w:val="en-GB"/>
          <w14:textFill>
            <w14:solidFill>
              <w14:schemeClr w14:val="tx1"/>
            </w14:solidFill>
          </w14:textFill>
        </w:rPr>
        <w:t>”）现就</w:t>
      </w:r>
      <w:r>
        <w:rPr>
          <w:rFonts w:hint="eastAsia" w:ascii="仿宋" w:hAnsi="仿宋" w:eastAsia="仿宋" w:cs="仿宋"/>
          <w:color w:val="000000" w:themeColor="text1"/>
          <w:sz w:val="24"/>
          <w:szCs w:val="24"/>
          <w:lang w:val="en-GB" w:eastAsia="zh-CN"/>
          <w14:textFill>
            <w14:solidFill>
              <w14:schemeClr w14:val="tx1"/>
            </w14:solidFill>
          </w14:textFill>
        </w:rPr>
        <w:t>吉安市中心人民医院全院药品溯源管理系统项目</w:t>
      </w:r>
      <w:r>
        <w:rPr>
          <w:rFonts w:hint="eastAsia" w:ascii="仿宋" w:hAnsi="仿宋" w:eastAsia="仿宋" w:cs="仿宋"/>
          <w:color w:val="000000" w:themeColor="text1"/>
          <w:sz w:val="24"/>
          <w:szCs w:val="24"/>
          <w:lang w:val="en-GB"/>
          <w14:textFill>
            <w14:solidFill>
              <w14:schemeClr w14:val="tx1"/>
            </w14:solidFill>
          </w14:textFill>
        </w:rPr>
        <w:t>进行</w:t>
      </w:r>
      <w:r>
        <w:rPr>
          <w:rFonts w:hint="eastAsia" w:ascii="仿宋" w:hAnsi="仿宋" w:eastAsia="仿宋" w:cs="仿宋"/>
          <w:color w:val="000000" w:themeColor="text1"/>
          <w:sz w:val="24"/>
          <w:szCs w:val="24"/>
          <w:lang w:val="en-GB" w:eastAsia="zh-CN"/>
          <w14:textFill>
            <w14:solidFill>
              <w14:schemeClr w14:val="tx1"/>
            </w14:solidFill>
          </w14:textFill>
        </w:rPr>
        <w:t>询比</w:t>
      </w:r>
      <w:r>
        <w:rPr>
          <w:rFonts w:hint="eastAsia" w:ascii="仿宋" w:hAnsi="仿宋" w:eastAsia="仿宋" w:cs="仿宋"/>
          <w:color w:val="000000" w:themeColor="text1"/>
          <w:sz w:val="24"/>
          <w:szCs w:val="24"/>
          <w:lang w:val="en-GB"/>
          <w14:textFill>
            <w14:solidFill>
              <w14:schemeClr w14:val="tx1"/>
            </w14:solidFill>
          </w14:textFill>
        </w:rPr>
        <w:t>。</w:t>
      </w:r>
    </w:p>
    <w:p w14:paraId="7DE43613">
      <w:pPr>
        <w:pStyle w:val="2"/>
        <w:numPr>
          <w:ilvl w:val="1"/>
          <w:numId w:val="0"/>
        </w:numPr>
        <w:ind w:left="568" w:leftChars="0"/>
        <w:rPr>
          <w:color w:val="000000" w:themeColor="text1"/>
          <w14:textFill>
            <w14:solidFill>
              <w14:schemeClr w14:val="tx1"/>
            </w14:solidFill>
          </w14:textFill>
        </w:rPr>
      </w:pPr>
      <w:bookmarkStart w:id="3" w:name="_Toc13401"/>
      <w:bookmarkStart w:id="4" w:name="_Toc8852"/>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项目概况</w:t>
      </w:r>
      <w:bookmarkEnd w:id="3"/>
      <w:bookmarkEnd w:id="4"/>
    </w:p>
    <w:tbl>
      <w:tblPr>
        <w:tblStyle w:val="30"/>
        <w:tblW w:w="4998" w:type="pct"/>
        <w:jc w:val="center"/>
        <w:tblLayout w:type="autofit"/>
        <w:tblCellMar>
          <w:top w:w="0" w:type="dxa"/>
          <w:left w:w="108" w:type="dxa"/>
          <w:bottom w:w="0" w:type="dxa"/>
          <w:right w:w="108" w:type="dxa"/>
        </w:tblCellMar>
      </w:tblPr>
      <w:tblGrid>
        <w:gridCol w:w="2471"/>
        <w:gridCol w:w="2956"/>
        <w:gridCol w:w="1409"/>
        <w:gridCol w:w="1689"/>
      </w:tblGrid>
      <w:tr w14:paraId="6EBDDBB7">
        <w:tblPrEx>
          <w:tblCellMar>
            <w:top w:w="0" w:type="dxa"/>
            <w:left w:w="108" w:type="dxa"/>
            <w:bottom w:w="0" w:type="dxa"/>
            <w:right w:w="108" w:type="dxa"/>
          </w:tblCellMar>
        </w:tblPrEx>
        <w:trPr>
          <w:trHeight w:val="650" w:hRule="atLeast"/>
          <w:jc w:val="center"/>
        </w:trPr>
        <w:tc>
          <w:tcPr>
            <w:tcW w:w="1449" w:type="pct"/>
            <w:tcBorders>
              <w:top w:val="single" w:color="auto" w:sz="4" w:space="0"/>
              <w:left w:val="single" w:color="auto" w:sz="4" w:space="0"/>
              <w:bottom w:val="single" w:color="auto" w:sz="4" w:space="0"/>
              <w:right w:val="single" w:color="auto" w:sz="4" w:space="0"/>
            </w:tcBorders>
            <w:noWrap w:val="0"/>
            <w:vAlign w:val="center"/>
          </w:tcPr>
          <w:p w14:paraId="6F6A0907">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bookmarkStart w:id="5" w:name="_Toc14695"/>
            <w:bookmarkStart w:id="6" w:name="_Toc181763615"/>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项目编号</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6AECBCA9">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14:paraId="478F6A8C">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预算金额</w:t>
            </w:r>
          </w:p>
        </w:tc>
        <w:tc>
          <w:tcPr>
            <w:tcW w:w="990" w:type="pct"/>
            <w:tcBorders>
              <w:top w:val="single" w:color="auto" w:sz="4" w:space="0"/>
              <w:left w:val="single" w:color="auto" w:sz="4" w:space="0"/>
              <w:bottom w:val="single" w:color="auto" w:sz="4" w:space="0"/>
              <w:right w:val="single" w:color="auto" w:sz="4" w:space="0"/>
            </w:tcBorders>
            <w:noWrap w:val="0"/>
            <w:vAlign w:val="center"/>
          </w:tcPr>
          <w:p w14:paraId="4A9BAA2B">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项目需求</w:t>
            </w:r>
          </w:p>
        </w:tc>
      </w:tr>
      <w:tr w14:paraId="3AD4FD1E">
        <w:tblPrEx>
          <w:tblCellMar>
            <w:top w:w="0" w:type="dxa"/>
            <w:left w:w="108" w:type="dxa"/>
            <w:bottom w:w="0" w:type="dxa"/>
            <w:right w:w="108" w:type="dxa"/>
          </w:tblCellMar>
        </w:tblPrEx>
        <w:trPr>
          <w:trHeight w:val="1120" w:hRule="atLeast"/>
          <w:jc w:val="center"/>
        </w:trPr>
        <w:tc>
          <w:tcPr>
            <w:tcW w:w="1449" w:type="pct"/>
            <w:tcBorders>
              <w:top w:val="single" w:color="auto" w:sz="4" w:space="0"/>
              <w:left w:val="single" w:color="auto" w:sz="4" w:space="0"/>
              <w:bottom w:val="single" w:color="auto" w:sz="4" w:space="0"/>
              <w:right w:val="single" w:color="auto" w:sz="4" w:space="0"/>
            </w:tcBorders>
            <w:noWrap w:val="0"/>
            <w:vAlign w:val="center"/>
          </w:tcPr>
          <w:p w14:paraId="6738CE0F">
            <w:pPr>
              <w:keepNext w:val="0"/>
              <w:keepLines w:val="0"/>
              <w:pageBreakBefore w:val="0"/>
              <w:widowControl w:val="0"/>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bidi="ar-SA"/>
                <w14:textFill>
                  <w14:solidFill>
                    <w14:schemeClr w14:val="tx1"/>
                  </w14:solidFill>
                </w14:textFill>
              </w:rPr>
              <w:t>JXTC2025060075</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29AE2401">
            <w:pPr>
              <w:keepNext w:val="0"/>
              <w:keepLines w:val="0"/>
              <w:pageBreakBefore w:val="0"/>
              <w:widowControl w:val="0"/>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GB" w:eastAsia="zh-CN"/>
                <w14:textFill>
                  <w14:solidFill>
                    <w14:schemeClr w14:val="tx1"/>
                  </w14:solidFill>
                </w14:textFill>
              </w:rPr>
              <w:t>吉安市中心人民医院全院药品溯源管理系统项目</w:t>
            </w:r>
          </w:p>
        </w:tc>
        <w:tc>
          <w:tcPr>
            <w:tcW w:w="826" w:type="pct"/>
            <w:tcBorders>
              <w:top w:val="single" w:color="auto" w:sz="4" w:space="0"/>
              <w:left w:val="single" w:color="auto" w:sz="4" w:space="0"/>
              <w:bottom w:val="single" w:color="auto" w:sz="4" w:space="0"/>
              <w:right w:val="single" w:color="auto" w:sz="4" w:space="0"/>
            </w:tcBorders>
            <w:noWrap w:val="0"/>
            <w:vAlign w:val="center"/>
          </w:tcPr>
          <w:p w14:paraId="14E193AE">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20万</w:t>
            </w:r>
            <w:r>
              <w:rPr>
                <w:rFonts w:hint="eastAsia" w:ascii="仿宋" w:hAnsi="仿宋" w:eastAsia="仿宋" w:cs="仿宋"/>
                <w:color w:val="000000" w:themeColor="text1"/>
                <w:sz w:val="24"/>
                <w:szCs w:val="24"/>
                <w:highlight w:val="none"/>
                <w14:textFill>
                  <w14:solidFill>
                    <w14:schemeClr w14:val="tx1"/>
                  </w14:solidFill>
                </w14:textFill>
              </w:rPr>
              <w:t>元</w:t>
            </w:r>
          </w:p>
        </w:tc>
        <w:tc>
          <w:tcPr>
            <w:tcW w:w="990" w:type="pct"/>
            <w:tcBorders>
              <w:top w:val="single" w:color="auto" w:sz="4" w:space="0"/>
              <w:left w:val="single" w:color="auto" w:sz="4" w:space="0"/>
              <w:bottom w:val="single" w:color="auto" w:sz="4" w:space="0"/>
              <w:right w:val="single" w:color="auto" w:sz="4" w:space="0"/>
            </w:tcBorders>
            <w:noWrap w:val="0"/>
            <w:vAlign w:val="center"/>
          </w:tcPr>
          <w:p w14:paraId="1C1D9DFA">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详见询比文件“第二部分”</w:t>
            </w:r>
          </w:p>
        </w:tc>
      </w:tr>
    </w:tbl>
    <w:p w14:paraId="0AE30185">
      <w:pPr>
        <w:tabs>
          <w:tab w:val="left" w:pos="180"/>
          <w:tab w:val="left" w:pos="360"/>
          <w:tab w:val="left" w:pos="1440"/>
        </w:tabs>
        <w:spacing w:line="360" w:lineRule="auto"/>
        <w:ind w:firstLine="480" w:firstLineChars="200"/>
        <w:jc w:val="left"/>
        <w:rPr>
          <w:rFonts w:hint="default" w:ascii="仿宋" w:hAnsi="仿宋" w:eastAsia="仿宋" w:cs="仿宋"/>
          <w:color w:val="000000" w:themeColor="text1"/>
          <w:sz w:val="24"/>
          <w:szCs w:val="24"/>
          <w:highlight w:val="yellow"/>
          <w:lang w:val="en-US" w:eastAsia="zh-CN"/>
          <w14:textFill>
            <w14:solidFill>
              <w14:schemeClr w14:val="tx1"/>
            </w14:solidFill>
          </w14:textFill>
        </w:rPr>
      </w:pPr>
    </w:p>
    <w:p w14:paraId="46E277AF">
      <w:pPr>
        <w:pStyle w:val="2"/>
        <w:numPr>
          <w:ilvl w:val="1"/>
          <w:numId w:val="0"/>
        </w:numPr>
        <w:ind w:left="568" w:leftChars="0"/>
        <w:rPr>
          <w:rFonts w:hint="eastAsia" w:cs="Times New Roman"/>
          <w:color w:val="000000" w:themeColor="text1"/>
          <w:lang w:val="en-GB"/>
          <w14:textFill>
            <w14:solidFill>
              <w14:schemeClr w14:val="tx1"/>
            </w14:solidFill>
          </w14:textFill>
        </w:rPr>
      </w:pPr>
      <w:bookmarkStart w:id="7" w:name="_Toc6945"/>
      <w:r>
        <w:rPr>
          <w:rFonts w:hint="eastAsia" w:cs="Times New Roman"/>
          <w:color w:val="000000" w:themeColor="text1"/>
          <w:lang w:val="en-US" w:eastAsia="zh-CN"/>
          <w14:textFill>
            <w14:solidFill>
              <w14:schemeClr w14:val="tx1"/>
            </w14:solidFill>
          </w14:textFill>
        </w:rPr>
        <w:t>二、</w:t>
      </w:r>
      <w:r>
        <w:rPr>
          <w:rFonts w:hint="eastAsia" w:cs="Times New Roman"/>
          <w:color w:val="000000" w:themeColor="text1"/>
          <w:lang w:val="en-GB" w:eastAsia="zh-CN"/>
          <w14:textFill>
            <w14:solidFill>
              <w14:schemeClr w14:val="tx1"/>
            </w14:solidFill>
          </w14:textFill>
        </w:rPr>
        <w:t>询比响应供应商</w:t>
      </w:r>
      <w:r>
        <w:rPr>
          <w:rFonts w:hint="eastAsia" w:cs="Times New Roman"/>
          <w:color w:val="000000" w:themeColor="text1"/>
          <w:lang w:val="en-GB"/>
          <w14:textFill>
            <w14:solidFill>
              <w14:schemeClr w14:val="tx1"/>
            </w14:solidFill>
          </w14:textFill>
        </w:rPr>
        <w:t>资格要求</w:t>
      </w:r>
      <w:bookmarkEnd w:id="5"/>
      <w:bookmarkEnd w:id="7"/>
    </w:p>
    <w:p w14:paraId="0A59314F">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bookmarkStart w:id="8" w:name="_Toc23977"/>
      <w:r>
        <w:rPr>
          <w:rFonts w:hint="eastAsia" w:ascii="仿宋" w:hAnsi="仿宋" w:eastAsia="仿宋" w:cs="仿宋"/>
          <w:color w:val="000000" w:themeColor="text1"/>
          <w:sz w:val="24"/>
          <w:szCs w:val="24"/>
          <w:lang w:val="en-GB"/>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供应商须为中华人民共和国境内合法注册的独立法人（提供</w:t>
      </w:r>
      <w:r>
        <w:rPr>
          <w:rFonts w:hint="eastAsia" w:ascii="仿宋" w:hAnsi="仿宋" w:eastAsia="仿宋" w:cs="仿宋"/>
          <w:color w:val="000000" w:themeColor="text1"/>
          <w:sz w:val="24"/>
          <w:szCs w:val="24"/>
          <w:lang w:val="en-US" w:eastAsia="zh-CN"/>
          <w14:textFill>
            <w14:solidFill>
              <w14:schemeClr w14:val="tx1"/>
            </w14:solidFill>
          </w14:textFill>
        </w:rPr>
        <w:t>营业执照</w:t>
      </w:r>
      <w:r>
        <w:rPr>
          <w:rFonts w:hint="eastAsia" w:ascii="仿宋" w:hAnsi="仿宋" w:eastAsia="仿宋" w:cs="仿宋"/>
          <w:color w:val="000000" w:themeColor="text1"/>
          <w:sz w:val="24"/>
          <w:szCs w:val="24"/>
          <w:lang w:val="en-GB"/>
          <w14:textFill>
            <w14:solidFill>
              <w14:schemeClr w14:val="tx1"/>
            </w14:solidFill>
          </w14:textFill>
        </w:rPr>
        <w:t>）</w:t>
      </w:r>
      <w:r>
        <w:rPr>
          <w:rFonts w:hint="eastAsia" w:ascii="仿宋" w:hAnsi="仿宋" w:eastAsia="仿宋" w:cs="仿宋"/>
          <w:color w:val="000000" w:themeColor="text1"/>
          <w:sz w:val="24"/>
          <w:szCs w:val="24"/>
          <w:lang w:val="en-GB" w:eastAsia="zh-CN"/>
          <w14:textFill>
            <w14:solidFill>
              <w14:schemeClr w14:val="tx1"/>
            </w14:solidFill>
          </w14:textFill>
        </w:rPr>
        <w:t>；</w:t>
      </w:r>
    </w:p>
    <w:p w14:paraId="11FBFACB">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.具有良好的商业信誉和健全的财务会计制度</w:t>
      </w:r>
      <w:r>
        <w:rPr>
          <w:rFonts w:hint="eastAsia" w:ascii="仿宋" w:hAnsi="仿宋" w:eastAsia="仿宋" w:cs="仿宋"/>
          <w:color w:val="000000" w:themeColor="text1"/>
          <w:sz w:val="24"/>
          <w:szCs w:val="24"/>
          <w:lang w:val="en-GB" w:eastAsia="zh-CN"/>
          <w14:textFill>
            <w14:solidFill>
              <w14:schemeClr w14:val="tx1"/>
            </w14:solidFill>
          </w14:textFill>
        </w:rPr>
        <w:t>（提供</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en-GB" w:eastAsia="zh-CN"/>
          <w14:textFill>
            <w14:solidFill>
              <w14:schemeClr w14:val="tx1"/>
            </w14:solidFill>
          </w14:textFill>
        </w:rPr>
        <w:t>前二个年度内任意一个年度经审计的财务状况报告或者在</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en-GB" w:eastAsia="zh-CN"/>
          <w14:textFill>
            <w14:solidFill>
              <w14:schemeClr w14:val="tx1"/>
            </w14:solidFill>
          </w14:textFill>
        </w:rPr>
        <w:t>前三个月内其基本开户行出具的资信证明）；</w:t>
      </w:r>
    </w:p>
    <w:p w14:paraId="4F09FC65">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GB"/>
          <w14:textFill>
            <w14:solidFill>
              <w14:schemeClr w14:val="tx1"/>
            </w14:solidFill>
          </w14:textFill>
        </w:rPr>
        <w:t>有依法缴纳税收和社会保障资金的良好记录</w:t>
      </w:r>
      <w:r>
        <w:rPr>
          <w:rFonts w:hint="eastAsia" w:ascii="仿宋" w:hAnsi="仿宋" w:eastAsia="仿宋" w:cs="仿宋"/>
          <w:color w:val="000000" w:themeColor="text1"/>
          <w:sz w:val="24"/>
          <w:szCs w:val="24"/>
          <w:lang w:val="en-GB" w:eastAsia="zh-CN"/>
          <w14:textFill>
            <w14:solidFill>
              <w14:schemeClr w14:val="tx1"/>
            </w14:solidFill>
          </w14:textFill>
        </w:rPr>
        <w:t>（税务登记证（实行“统一社会信用代码”的不需单独提供）和</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en-GB" w:eastAsia="zh-CN"/>
          <w14:textFill>
            <w14:solidFill>
              <w14:schemeClr w14:val="tx1"/>
            </w14:solidFill>
          </w14:textFill>
        </w:rPr>
        <w:t>前六个月内任意一个月的企业缴税凭证或证明；</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en-GB" w:eastAsia="zh-CN"/>
          <w14:textFill>
            <w14:solidFill>
              <w14:schemeClr w14:val="tx1"/>
            </w14:solidFill>
          </w14:textFill>
        </w:rPr>
        <w:t>前六个月内任意一个月的缴纳社会保障资金的凭证或当地社会保障局出具的缴纳明细。依法免税或不需要缴纳社会保障资金的供应商，应当提供相关文件证明其依法免税或不需要缴纳社会保障资金）；</w:t>
      </w:r>
    </w:p>
    <w:p w14:paraId="089A524E">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4.具有履行合同所必需的设备和专业技术能力（提供承诺函，格式自拟）；</w:t>
      </w:r>
    </w:p>
    <w:p w14:paraId="34EA17CA">
      <w:pPr>
        <w:tabs>
          <w:tab w:val="left" w:pos="180"/>
          <w:tab w:val="left" w:pos="360"/>
          <w:tab w:val="left" w:pos="1440"/>
        </w:tabs>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5.参加本次询比前五年内，在经营活动中没有重大违法记录（提供承诺函，格式自拟）；</w:t>
      </w:r>
    </w:p>
    <w:p w14:paraId="7F3DD323">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GB"/>
          <w14:textFill>
            <w14:solidFill>
              <w14:schemeClr w14:val="tx1"/>
            </w14:solidFill>
          </w14:textFill>
        </w:rPr>
        <w:t>缴纳</w:t>
      </w:r>
      <w:r>
        <w:rPr>
          <w:rFonts w:hint="eastAsia" w:ascii="仿宋" w:hAnsi="仿宋" w:eastAsia="仿宋" w:cs="仿宋"/>
          <w:color w:val="000000" w:themeColor="text1"/>
          <w:sz w:val="24"/>
          <w:szCs w:val="24"/>
          <w:lang w:val="en-GB" w:eastAsia="zh-CN"/>
          <w14:textFill>
            <w14:solidFill>
              <w14:schemeClr w14:val="tx1"/>
            </w14:solidFill>
          </w14:textFill>
        </w:rPr>
        <w:t>询比</w:t>
      </w:r>
      <w:r>
        <w:rPr>
          <w:rFonts w:hint="eastAsia" w:ascii="仿宋" w:hAnsi="仿宋" w:eastAsia="仿宋" w:cs="仿宋"/>
          <w:color w:val="000000" w:themeColor="text1"/>
          <w:sz w:val="24"/>
          <w:szCs w:val="24"/>
          <w:lang w:val="en-GB"/>
          <w14:textFill>
            <w14:solidFill>
              <w14:schemeClr w14:val="tx1"/>
            </w14:solidFill>
          </w14:textFill>
        </w:rPr>
        <w:t>保证金</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需提供缴纳汇款凭证</w:t>
      </w:r>
      <w:r>
        <w:rPr>
          <w:rFonts w:hint="eastAsia" w:ascii="仿宋" w:hAnsi="仿宋" w:eastAsia="仿宋" w:cs="仿宋"/>
          <w:color w:val="000000" w:themeColor="text1"/>
          <w:sz w:val="24"/>
          <w:szCs w:val="24"/>
          <w:lang w:val="en-GB" w:eastAsia="zh-CN"/>
          <w14:textFill>
            <w14:solidFill>
              <w14:schemeClr w14:val="tx1"/>
            </w14:solidFill>
          </w14:textFill>
        </w:rPr>
        <w:t>）；</w:t>
      </w:r>
    </w:p>
    <w:p w14:paraId="4C0D8AF5">
      <w:pPr>
        <w:tabs>
          <w:tab w:val="left" w:pos="180"/>
          <w:tab w:val="left" w:pos="360"/>
          <w:tab w:val="left" w:pos="1440"/>
        </w:tabs>
        <w:spacing w:line="360" w:lineRule="auto"/>
        <w:ind w:firstLine="480" w:firstLineChars="200"/>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GB"/>
          <w14:textFill>
            <w14:solidFill>
              <w14:schemeClr w14:val="tx1"/>
            </w14:solidFill>
          </w14:textFill>
        </w:rPr>
        <w:t>本项目不接受联合体参与</w:t>
      </w:r>
      <w:r>
        <w:rPr>
          <w:rFonts w:hint="eastAsia" w:ascii="仿宋" w:hAnsi="仿宋" w:eastAsia="仿宋" w:cs="仿宋"/>
          <w:color w:val="000000" w:themeColor="text1"/>
          <w:sz w:val="24"/>
          <w:szCs w:val="24"/>
          <w:lang w:val="en-GB" w:eastAsia="zh-CN"/>
          <w14:textFill>
            <w14:solidFill>
              <w14:schemeClr w14:val="tx1"/>
            </w14:solidFill>
          </w14:textFill>
        </w:rPr>
        <w:t>询比</w:t>
      </w:r>
      <w:r>
        <w:rPr>
          <w:rFonts w:hint="eastAsia" w:ascii="仿宋" w:hAnsi="仿宋" w:eastAsia="仿宋" w:cs="仿宋"/>
          <w:color w:val="000000" w:themeColor="text1"/>
          <w:sz w:val="24"/>
          <w:szCs w:val="24"/>
          <w:lang w:val="en-GB"/>
          <w14:textFill>
            <w14:solidFill>
              <w14:schemeClr w14:val="tx1"/>
            </w14:solidFill>
          </w14:textFill>
        </w:rPr>
        <w:t>。</w:t>
      </w:r>
    </w:p>
    <w:p w14:paraId="4B4ADAE7">
      <w:pPr>
        <w:pStyle w:val="2"/>
        <w:numPr>
          <w:ilvl w:val="1"/>
          <w:numId w:val="0"/>
        </w:numPr>
        <w:ind w:left="568" w:leftChars="0"/>
        <w:rPr>
          <w:color w:val="000000" w:themeColor="text1"/>
          <w14:textFill>
            <w14:solidFill>
              <w14:schemeClr w14:val="tx1"/>
            </w14:solidFill>
          </w14:textFill>
        </w:rPr>
      </w:pPr>
      <w:bookmarkStart w:id="9" w:name="_Toc25041"/>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获取</w:t>
      </w:r>
      <w:r>
        <w:rPr>
          <w:rFonts w:hint="eastAsia"/>
          <w:color w:val="000000" w:themeColor="text1"/>
          <w:lang w:eastAsia="zh-CN"/>
          <w14:textFill>
            <w14:solidFill>
              <w14:schemeClr w14:val="tx1"/>
            </w14:solidFill>
          </w14:textFill>
        </w:rPr>
        <w:t>询比</w:t>
      </w:r>
      <w:r>
        <w:rPr>
          <w:rFonts w:hint="eastAsia"/>
          <w:color w:val="000000" w:themeColor="text1"/>
          <w14:textFill>
            <w14:solidFill>
              <w14:schemeClr w14:val="tx1"/>
            </w14:solidFill>
          </w14:textFill>
        </w:rPr>
        <w:t>文件时间、地点</w:t>
      </w:r>
      <w:bookmarkEnd w:id="8"/>
      <w:bookmarkEnd w:id="9"/>
    </w:p>
    <w:p w14:paraId="1D424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1.本项目不提供纸质文件，本项目电子</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文件获取方式：有意向的</w:t>
      </w:r>
      <w:r>
        <w:rPr>
          <w:rFonts w:hint="eastAsia" w:ascii="仿宋" w:hAnsi="仿宋" w:eastAsia="仿宋" w:cs="仿宋"/>
          <w:bCs/>
          <w:color w:val="000000" w:themeColor="text1"/>
          <w:sz w:val="24"/>
          <w:szCs w:val="24"/>
          <w:lang w:eastAsia="zh-CN"/>
          <w14:textFill>
            <w14:solidFill>
              <w14:schemeClr w14:val="tx1"/>
            </w14:solidFill>
          </w14:textFill>
        </w:rPr>
        <w:t>询比响应供应商</w:t>
      </w:r>
      <w:r>
        <w:rPr>
          <w:rFonts w:hint="eastAsia" w:ascii="仿宋" w:hAnsi="仿宋" w:eastAsia="仿宋" w:cs="仿宋"/>
          <w:bCs/>
          <w:color w:val="000000" w:themeColor="text1"/>
          <w:sz w:val="24"/>
          <w:szCs w:val="24"/>
          <w14:textFill>
            <w14:solidFill>
              <w14:schemeClr w14:val="tx1"/>
            </w14:solidFill>
          </w14:textFill>
        </w:rPr>
        <w:t>请于202</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日至202</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lang w:val="en-US" w:eastAsia="zh-CN"/>
          <w14:textFill>
            <w14:solidFill>
              <w14:schemeClr w14:val="tx1"/>
            </w14:solidFill>
          </w14:textFill>
        </w:rPr>
        <w:t>23</w:t>
      </w:r>
      <w:r>
        <w:rPr>
          <w:rFonts w:hint="eastAsia" w:ascii="仿宋" w:hAnsi="仿宋" w:eastAsia="仿宋" w:cs="仿宋"/>
          <w:bCs/>
          <w:color w:val="000000" w:themeColor="text1"/>
          <w:sz w:val="24"/>
          <w:szCs w:val="24"/>
          <w14:textFill>
            <w14:solidFill>
              <w14:schemeClr w14:val="tx1"/>
            </w14:solidFill>
          </w14:textFill>
        </w:rPr>
        <w:t>日登录精彩纵横云采购平台网站（网址：</w:t>
      </w:r>
      <w:r>
        <w:rPr>
          <w:rFonts w:hint="eastAsia" w:ascii="仿宋" w:hAnsi="仿宋" w:eastAsia="仿宋" w:cs="仿宋"/>
          <w:bCs/>
          <w:color w:val="000000" w:themeColor="text1"/>
          <w:sz w:val="24"/>
          <w:szCs w:val="24"/>
          <w:lang w:eastAsia="zh-CN"/>
          <w14:textFill>
            <w14:solidFill>
              <w14:schemeClr w14:val="tx1"/>
            </w14:solidFill>
          </w14:textFill>
        </w:rPr>
        <w:t>https://www.jczh.com)</w:t>
      </w:r>
      <w:r>
        <w:rPr>
          <w:rFonts w:hint="eastAsia" w:ascii="仿宋" w:hAnsi="仿宋" w:eastAsia="仿宋" w:cs="仿宋"/>
          <w:bCs/>
          <w:color w:val="000000" w:themeColor="text1"/>
          <w:sz w:val="24"/>
          <w:szCs w:val="24"/>
          <w14:textFill>
            <w14:solidFill>
              <w14:schemeClr w14:val="tx1"/>
            </w14:solidFill>
          </w14:textFill>
        </w:rPr>
        <w:t>公告查看页面点击“立即参与”，获取电子</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文件及其它资料，未获取电子</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文件及其他材料的不能参与本项目的</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。（未注册的</w:t>
      </w:r>
      <w:r>
        <w:rPr>
          <w:rFonts w:hint="eastAsia" w:ascii="仿宋" w:hAnsi="仿宋" w:eastAsia="仿宋" w:cs="仿宋"/>
          <w:bCs/>
          <w:color w:val="000000" w:themeColor="text1"/>
          <w:sz w:val="24"/>
          <w:szCs w:val="24"/>
          <w:lang w:eastAsia="zh-CN"/>
          <w14:textFill>
            <w14:solidFill>
              <w14:schemeClr w14:val="tx1"/>
            </w14:solidFill>
          </w14:textFill>
        </w:rPr>
        <w:t>询比响应供应商</w:t>
      </w:r>
      <w:r>
        <w:rPr>
          <w:rFonts w:hint="eastAsia" w:ascii="仿宋" w:hAnsi="仿宋" w:eastAsia="仿宋" w:cs="仿宋"/>
          <w:bCs/>
          <w:color w:val="000000" w:themeColor="text1"/>
          <w:sz w:val="24"/>
          <w:szCs w:val="24"/>
          <w14:textFill>
            <w14:solidFill>
              <w14:schemeClr w14:val="tx1"/>
            </w14:solidFill>
          </w14:textFill>
        </w:rPr>
        <w:t>须先完成注册登记并通过审核）</w:t>
      </w:r>
    </w:p>
    <w:p w14:paraId="77E6542F">
      <w:pPr>
        <w:numPr>
          <w:ilvl w:val="0"/>
          <w:numId w:val="0"/>
        </w:numPr>
        <w:spacing w:line="360" w:lineRule="auto"/>
        <w:ind w:left="426" w:leftChars="0"/>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备注：</w:t>
      </w:r>
    </w:p>
    <w:p w14:paraId="04E8F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1）具体注册事宜可登录精彩纵横云采购平台网站（</w:t>
      </w:r>
      <w:r>
        <w:rPr>
          <w:rFonts w:hint="eastAsia" w:ascii="仿宋" w:hAnsi="仿宋" w:eastAsia="仿宋" w:cs="仿宋"/>
          <w:bCs/>
          <w:color w:val="000000" w:themeColor="text1"/>
          <w:sz w:val="24"/>
          <w:szCs w:val="24"/>
          <w:lang w:eastAsia="zh-CN"/>
          <w14:textFill>
            <w14:solidFill>
              <w14:schemeClr w14:val="tx1"/>
            </w14:solidFill>
          </w14:textFill>
        </w:rPr>
        <w:t>https://www.jczh.com）</w:t>
      </w:r>
      <w:r>
        <w:rPr>
          <w:rFonts w:hint="eastAsia" w:ascii="仿宋" w:hAnsi="仿宋" w:eastAsia="仿宋" w:cs="仿宋"/>
          <w:bCs/>
          <w:color w:val="000000" w:themeColor="text1"/>
          <w:sz w:val="24"/>
          <w:szCs w:val="24"/>
          <w14:textFill>
            <w14:solidFill>
              <w14:schemeClr w14:val="tx1"/>
            </w14:solidFill>
          </w14:textFill>
        </w:rPr>
        <w:t>查看“帮助专区”；</w:t>
      </w:r>
    </w:p>
    <w:p w14:paraId="13790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2）相关问题也可拨打咨询电话：400-8566-100（注册咨询电话，晚上21</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00前），咨询QQ：2307583988、811028657、3132922569；</w:t>
      </w:r>
    </w:p>
    <w:p w14:paraId="15C1A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3）以上手续必须在</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文件发售期内完成，因未及时办理注册审核手续影响报名及参加</w:t>
      </w:r>
      <w:r>
        <w:rPr>
          <w:rFonts w:hint="eastAsia" w:ascii="仿宋" w:hAnsi="仿宋" w:eastAsia="仿宋" w:cs="仿宋"/>
          <w:bCs/>
          <w:color w:val="000000" w:themeColor="text1"/>
          <w:sz w:val="24"/>
          <w:szCs w:val="24"/>
          <w:lang w:eastAsia="zh-CN"/>
          <w14:textFill>
            <w14:solidFill>
              <w14:schemeClr w14:val="tx1"/>
            </w14:solidFill>
          </w14:textFill>
        </w:rPr>
        <w:t>询比</w:t>
      </w:r>
      <w:r>
        <w:rPr>
          <w:rFonts w:hint="eastAsia" w:ascii="仿宋" w:hAnsi="仿宋" w:eastAsia="仿宋" w:cs="仿宋"/>
          <w:bCs/>
          <w:color w:val="000000" w:themeColor="text1"/>
          <w:sz w:val="24"/>
          <w:szCs w:val="24"/>
          <w14:textFill>
            <w14:solidFill>
              <w14:schemeClr w14:val="tx1"/>
            </w14:solidFill>
          </w14:textFill>
        </w:rPr>
        <w:t>的，责任自负。</w:t>
      </w:r>
    </w:p>
    <w:p w14:paraId="78F50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供应商在获取询比文件后，须带相关设备前往采购人药剂科进行现场演示，演示内容为一、服务要求中“2.应具备的基本功能”到“6.数据交互结果”的全部内容。药剂科将对演示合格的供应商的药品溯源管理系统出具演示合格证明。演示合格证明</w:t>
      </w:r>
      <w:r>
        <w:rPr>
          <w:rFonts w:hint="eastAsia" w:ascii="仿宋" w:hAnsi="仿宋" w:eastAsia="仿宋" w:cs="仿宋"/>
          <w:bCs/>
          <w:color w:val="000000" w:themeColor="text1"/>
          <w:sz w:val="24"/>
          <w:szCs w:val="24"/>
          <w:lang w:val="en-US" w:eastAsia="zh-CN"/>
          <w14:textFill>
            <w14:solidFill>
              <w14:schemeClr w14:val="tx1"/>
            </w14:solidFill>
          </w14:textFill>
        </w:rPr>
        <w:t>将作为询价响应文件的重要性组成部分。</w:t>
      </w:r>
    </w:p>
    <w:p w14:paraId="0E53B832">
      <w:pPr>
        <w:pStyle w:val="2"/>
        <w:numPr>
          <w:ilvl w:val="1"/>
          <w:numId w:val="0"/>
        </w:numPr>
        <w:ind w:left="568" w:leftChars="0"/>
        <w:rPr>
          <w:color w:val="000000" w:themeColor="text1"/>
          <w14:textFill>
            <w14:solidFill>
              <w14:schemeClr w14:val="tx1"/>
            </w14:solidFill>
          </w14:textFill>
        </w:rPr>
      </w:pPr>
      <w:bookmarkStart w:id="10" w:name="_Toc26596"/>
      <w:bookmarkStart w:id="11" w:name="_Toc21530"/>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递交</w:t>
      </w:r>
      <w:r>
        <w:rPr>
          <w:rFonts w:hint="eastAsia"/>
          <w:color w:val="000000" w:themeColor="text1"/>
          <w:lang w:eastAsia="zh-CN"/>
          <w14:textFill>
            <w14:solidFill>
              <w14:schemeClr w14:val="tx1"/>
            </w14:solidFill>
          </w14:textFill>
        </w:rPr>
        <w:t>询比响应文件</w:t>
      </w:r>
      <w:r>
        <w:rPr>
          <w:rFonts w:hint="eastAsia"/>
          <w:color w:val="000000" w:themeColor="text1"/>
          <w14:textFill>
            <w14:solidFill>
              <w14:schemeClr w14:val="tx1"/>
            </w14:solidFill>
          </w14:textFill>
        </w:rPr>
        <w:t>时间、地点</w:t>
      </w:r>
      <w:bookmarkEnd w:id="10"/>
      <w:bookmarkEnd w:id="11"/>
    </w:p>
    <w:p w14:paraId="66B75B5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1.询比响应供应商</w:t>
      </w:r>
      <w:r>
        <w:rPr>
          <w:rFonts w:hint="eastAsia" w:ascii="仿宋" w:hAnsi="仿宋" w:eastAsia="仿宋" w:cs="仿宋"/>
          <w:b/>
          <w:bCs w:val="0"/>
          <w:color w:val="000000" w:themeColor="text1"/>
          <w:sz w:val="24"/>
          <w:szCs w:val="24"/>
          <w14:textFill>
            <w14:solidFill>
              <w14:schemeClr w14:val="tx1"/>
            </w14:solidFill>
          </w14:textFill>
        </w:rPr>
        <w:t>必须在</w:t>
      </w:r>
      <w:r>
        <w:rPr>
          <w:rFonts w:hint="eastAsia" w:ascii="仿宋" w:hAnsi="仿宋" w:eastAsia="仿宋" w:cs="仿宋"/>
          <w:b/>
          <w:bCs w:val="0"/>
          <w:color w:val="000000" w:themeColor="text1"/>
          <w:sz w:val="24"/>
          <w:szCs w:val="24"/>
          <w:lang w:val="en-US" w:eastAsia="zh-CN"/>
          <w14:textFill>
            <w14:solidFill>
              <w14:schemeClr w14:val="tx1"/>
            </w14:solidFill>
          </w14:textFill>
        </w:rPr>
        <w:t>询比</w:t>
      </w:r>
      <w:r>
        <w:rPr>
          <w:rFonts w:hint="eastAsia" w:ascii="仿宋" w:hAnsi="仿宋" w:eastAsia="仿宋" w:cs="仿宋"/>
          <w:b/>
          <w:bCs w:val="0"/>
          <w:color w:val="000000" w:themeColor="text1"/>
          <w:sz w:val="24"/>
          <w:szCs w:val="24"/>
          <w14:textFill>
            <w14:solidFill>
              <w14:schemeClr w14:val="tx1"/>
            </w14:solidFill>
          </w14:textFill>
        </w:rPr>
        <w:t>截止时间前将加盖电子签章的加密电子</w:t>
      </w:r>
      <w:r>
        <w:rPr>
          <w:rFonts w:hint="eastAsia" w:ascii="仿宋" w:hAnsi="仿宋" w:eastAsia="仿宋" w:cs="仿宋"/>
          <w:b/>
          <w:bCs w:val="0"/>
          <w:color w:val="000000" w:themeColor="text1"/>
          <w:sz w:val="24"/>
          <w:szCs w:val="24"/>
          <w:lang w:val="en-US" w:eastAsia="zh-CN"/>
          <w14:textFill>
            <w14:solidFill>
              <w14:schemeClr w14:val="tx1"/>
            </w14:solidFill>
          </w14:textFill>
        </w:rPr>
        <w:t>响应文件</w:t>
      </w:r>
      <w:r>
        <w:rPr>
          <w:rFonts w:hint="eastAsia" w:ascii="仿宋" w:hAnsi="仿宋" w:eastAsia="仿宋" w:cs="仿宋"/>
          <w:b/>
          <w:bCs w:val="0"/>
          <w:color w:val="000000" w:themeColor="text1"/>
          <w:sz w:val="24"/>
          <w:szCs w:val="24"/>
          <w14:textFill>
            <w14:solidFill>
              <w14:schemeClr w14:val="tx1"/>
            </w14:solidFill>
          </w14:textFill>
        </w:rPr>
        <w:t>上传至精彩纵横云采购平台网站（网址：</w:t>
      </w:r>
      <w:r>
        <w:rPr>
          <w:rFonts w:hint="eastAsia" w:ascii="仿宋" w:hAnsi="仿宋" w:eastAsia="仿宋" w:cs="仿宋"/>
          <w:b/>
          <w:bCs w:val="0"/>
          <w:color w:val="000000" w:themeColor="text1"/>
          <w:sz w:val="24"/>
          <w:szCs w:val="24"/>
          <w:lang w:eastAsia="zh-CN"/>
          <w14:textFill>
            <w14:solidFill>
              <w14:schemeClr w14:val="tx1"/>
            </w14:solidFill>
          </w14:textFill>
        </w:rPr>
        <w:t>https://www.jczh.com)</w:t>
      </w:r>
      <w:r>
        <w:rPr>
          <w:rFonts w:hint="eastAsia" w:ascii="仿宋" w:hAnsi="仿宋" w:eastAsia="仿宋" w:cs="仿宋"/>
          <w:b/>
          <w:bCs w:val="0"/>
          <w:color w:val="000000" w:themeColor="text1"/>
          <w:sz w:val="24"/>
          <w:szCs w:val="24"/>
          <w14:textFill>
            <w14:solidFill>
              <w14:schemeClr w14:val="tx1"/>
            </w14:solidFill>
          </w14:textFill>
        </w:rPr>
        <w:t>，否则视为无效响应。</w:t>
      </w:r>
    </w:p>
    <w:p w14:paraId="3A66060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备注：</w:t>
      </w:r>
    </w:p>
    <w:p w14:paraId="388C413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（1）电子</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询比响应文件</w:t>
      </w:r>
      <w:r>
        <w:rPr>
          <w:rFonts w:hint="eastAsia" w:ascii="仿宋" w:hAnsi="仿宋" w:eastAsia="仿宋" w:cs="仿宋"/>
          <w:b w:val="0"/>
          <w:bCs/>
          <w:color w:val="000000" w:themeColor="text1"/>
          <w:sz w:val="24"/>
          <w:szCs w:val="24"/>
          <w14:textFill>
            <w14:solidFill>
              <w14:schemeClr w14:val="tx1"/>
            </w14:solidFill>
          </w14:textFill>
        </w:rPr>
        <w:t>编制须使用精彩纵横云采购平台投标文件制作软件，投标工具（含驱动）可在精彩纵横云采购平台任意页面右侧“投标客户端”点击下载。</w:t>
      </w:r>
    </w:p>
    <w:p w14:paraId="4BE82A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询比响应供应商</w:t>
      </w:r>
      <w:r>
        <w:rPr>
          <w:rFonts w:hint="eastAsia" w:ascii="仿宋" w:hAnsi="仿宋" w:eastAsia="仿宋" w:cs="仿宋"/>
          <w:b w:val="0"/>
          <w:bCs/>
          <w:color w:val="000000" w:themeColor="text1"/>
          <w:sz w:val="24"/>
          <w:szCs w:val="24"/>
          <w14:textFill>
            <w14:solidFill>
              <w14:schemeClr w14:val="tx1"/>
            </w14:solidFill>
          </w14:textFill>
        </w:rPr>
        <w:t>进行</w:t>
      </w:r>
      <w:r>
        <w:rPr>
          <w:rFonts w:hint="eastAsia" w:ascii="仿宋" w:hAnsi="仿宋" w:eastAsia="仿宋" w:cs="仿宋"/>
          <w:b w:val="0"/>
          <w:bCs/>
          <w:color w:val="000000" w:themeColor="text1"/>
          <w:sz w:val="24"/>
          <w:szCs w:val="24"/>
          <w:lang w:val="en-US" w:eastAsia="zh-CN"/>
          <w14:textFill>
            <w14:solidFill>
              <w14:schemeClr w14:val="tx1"/>
            </w14:solidFill>
          </w14:textFill>
        </w:rPr>
        <w:t>询比</w:t>
      </w:r>
      <w:r>
        <w:rPr>
          <w:rFonts w:hint="eastAsia" w:ascii="仿宋" w:hAnsi="仿宋" w:eastAsia="仿宋" w:cs="仿宋"/>
          <w:b w:val="0"/>
          <w:bCs/>
          <w:color w:val="000000" w:themeColor="text1"/>
          <w:sz w:val="24"/>
          <w:szCs w:val="24"/>
          <w14:textFill>
            <w14:solidFill>
              <w14:schemeClr w14:val="tx1"/>
            </w14:solidFill>
          </w14:textFill>
        </w:rPr>
        <w:t>需要提前远程办理CA数字证书（仅下载</w:t>
      </w:r>
      <w:r>
        <w:rPr>
          <w:rFonts w:hint="eastAsia" w:ascii="仿宋" w:hAnsi="仿宋" w:eastAsia="仿宋" w:cs="仿宋"/>
          <w:b w:val="0"/>
          <w:bCs/>
          <w:color w:val="000000" w:themeColor="text1"/>
          <w:sz w:val="24"/>
          <w:szCs w:val="24"/>
          <w:lang w:val="en-US" w:eastAsia="zh-CN"/>
          <w14:textFill>
            <w14:solidFill>
              <w14:schemeClr w14:val="tx1"/>
            </w14:solidFill>
          </w14:textFill>
        </w:rPr>
        <w:t>询比</w:t>
      </w:r>
      <w:r>
        <w:rPr>
          <w:rFonts w:hint="eastAsia" w:ascii="仿宋" w:hAnsi="仿宋" w:eastAsia="仿宋" w:cs="仿宋"/>
          <w:b w:val="0"/>
          <w:bCs/>
          <w:color w:val="000000" w:themeColor="text1"/>
          <w:sz w:val="24"/>
          <w:szCs w:val="24"/>
          <w14:textFill>
            <w14:solidFill>
              <w14:schemeClr w14:val="tx1"/>
            </w14:solidFill>
          </w14:textFill>
        </w:rPr>
        <w:t>文件电子版不需要办理CA数字证书，只需会员审核通过即可，上传</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询比响应文件</w:t>
      </w:r>
      <w:r>
        <w:rPr>
          <w:rFonts w:hint="eastAsia" w:ascii="仿宋" w:hAnsi="仿宋" w:eastAsia="仿宋" w:cs="仿宋"/>
          <w:b w:val="0"/>
          <w:bCs/>
          <w:color w:val="000000" w:themeColor="text1"/>
          <w:sz w:val="24"/>
          <w:szCs w:val="24"/>
          <w14:textFill>
            <w14:solidFill>
              <w14:schemeClr w14:val="tx1"/>
            </w14:solidFill>
          </w14:textFill>
        </w:rPr>
        <w:t>时需要启用CA数字证书），办理方式和注意事项详见精彩纵横云采购平台网站“帮忙专区”</w:t>
      </w:r>
      <w:r>
        <w:rPr>
          <w:rFonts w:hint="eastAsia" w:ascii="仿宋" w:hAnsi="仿宋" w:eastAsia="仿宋" w:cs="仿宋"/>
          <w:b w:val="0"/>
          <w:bCs/>
          <w:color w:val="000000" w:themeColor="text1"/>
          <w:sz w:val="24"/>
          <w:szCs w:val="24"/>
          <w:lang w:eastAsia="zh-CN"/>
          <w14:textFill>
            <w14:solidFill>
              <w14:schemeClr w14:val="tx1"/>
            </w14:solidFill>
          </w14:textFill>
        </w:rPr>
        <w:t>栏目</w:t>
      </w:r>
      <w:r>
        <w:rPr>
          <w:rFonts w:hint="eastAsia" w:ascii="仿宋" w:hAnsi="仿宋" w:eastAsia="仿宋" w:cs="仿宋"/>
          <w:b w:val="0"/>
          <w:bCs/>
          <w:color w:val="000000" w:themeColor="text1"/>
          <w:sz w:val="24"/>
          <w:szCs w:val="24"/>
          <w14:textFill>
            <w14:solidFill>
              <w14:schemeClr w14:val="tx1"/>
            </w14:solidFill>
          </w14:textFill>
        </w:rPr>
        <w:t>。</w:t>
      </w:r>
    </w:p>
    <w:p w14:paraId="2B2FBC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（3）在精彩纵横云采购平台已办理且还在有效期的CA数字证书的</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询比响应供应商</w:t>
      </w:r>
      <w:r>
        <w:rPr>
          <w:rFonts w:hint="eastAsia" w:ascii="仿宋" w:hAnsi="仿宋" w:eastAsia="仿宋" w:cs="仿宋"/>
          <w:b w:val="0"/>
          <w:bCs/>
          <w:color w:val="000000" w:themeColor="text1"/>
          <w:sz w:val="24"/>
          <w:szCs w:val="24"/>
          <w14:textFill>
            <w14:solidFill>
              <w14:schemeClr w14:val="tx1"/>
            </w14:solidFill>
          </w14:textFill>
        </w:rPr>
        <w:t>，无需重新办理，可直接参与项目及其他项目的投标活动。</w:t>
      </w:r>
    </w:p>
    <w:p w14:paraId="2ABD4F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（4）在精彩纵横电子交易平台已办理且还在有效期的CA数字证书的</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询比响应供应商</w:t>
      </w:r>
      <w:r>
        <w:rPr>
          <w:rFonts w:hint="eastAsia" w:ascii="仿宋" w:hAnsi="仿宋" w:eastAsia="仿宋" w:cs="仿宋"/>
          <w:b w:val="0"/>
          <w:bCs/>
          <w:color w:val="000000" w:themeColor="text1"/>
          <w:sz w:val="24"/>
          <w:szCs w:val="24"/>
          <w14:textFill>
            <w14:solidFill>
              <w14:schemeClr w14:val="tx1"/>
            </w14:solidFill>
          </w14:textFill>
        </w:rPr>
        <w:t>，无需重新办理，可直接参与项目及其他项目的投标活动。</w:t>
      </w:r>
    </w:p>
    <w:p w14:paraId="41EDA7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（5）精彩纵横云采购平台支持两种CA数字证书，即：实体CA、移动CA，</w:t>
      </w:r>
      <w:r>
        <w:rPr>
          <w:rFonts w:hint="eastAsia" w:ascii="仿宋" w:hAnsi="仿宋" w:eastAsia="仿宋" w:cs="仿宋"/>
          <w:b w:val="0"/>
          <w:bCs/>
          <w:color w:val="000000" w:themeColor="text1"/>
          <w:sz w:val="24"/>
          <w:szCs w:val="24"/>
          <w:lang w:val="en-US" w:eastAsia="zh-CN"/>
          <w14:textFill>
            <w14:solidFill>
              <w14:schemeClr w14:val="tx1"/>
            </w14:solidFill>
          </w14:textFill>
        </w:rPr>
        <w:t>询比响应供应商</w:t>
      </w:r>
      <w:r>
        <w:rPr>
          <w:rFonts w:hint="eastAsia" w:ascii="仿宋" w:hAnsi="仿宋" w:eastAsia="仿宋" w:cs="仿宋"/>
          <w:b w:val="0"/>
          <w:bCs/>
          <w:color w:val="000000" w:themeColor="text1"/>
          <w:sz w:val="24"/>
          <w:szCs w:val="24"/>
          <w14:textFill>
            <w14:solidFill>
              <w14:schemeClr w14:val="tx1"/>
            </w14:solidFill>
          </w14:textFill>
        </w:rPr>
        <w:t>根据实际情况按需办理。</w:t>
      </w:r>
    </w:p>
    <w:p w14:paraId="76F082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（6）全流程电子化相关问题可拨打咨询电话：400-8566-100（注册咨询电话，晚上21</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00前）或咨询在线客服（QQ：2307583988、811028657、3132922569）。</w:t>
      </w:r>
    </w:p>
    <w:p w14:paraId="639180B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2.询比</w:t>
      </w:r>
      <w:r>
        <w:rPr>
          <w:rFonts w:hint="eastAsia" w:ascii="仿宋" w:hAnsi="仿宋" w:eastAsia="仿宋" w:cs="仿宋"/>
          <w:b/>
          <w:bCs w:val="0"/>
          <w:color w:val="000000" w:themeColor="text1"/>
          <w:sz w:val="24"/>
          <w:szCs w:val="24"/>
          <w14:textFill>
            <w14:solidFill>
              <w14:schemeClr w14:val="tx1"/>
            </w14:solidFill>
          </w14:textFill>
        </w:rPr>
        <w:t>截止时间为202</w:t>
      </w:r>
      <w:r>
        <w:rPr>
          <w:rFonts w:hint="eastAsia" w:ascii="仿宋" w:hAnsi="仿宋" w:eastAsia="仿宋" w:cs="仿宋"/>
          <w:b/>
          <w:bCs w:val="0"/>
          <w:color w:val="000000" w:themeColor="text1"/>
          <w:sz w:val="24"/>
          <w:szCs w:val="24"/>
          <w:lang w:val="en-US" w:eastAsia="zh-CN"/>
          <w14:textFill>
            <w14:solidFill>
              <w14:schemeClr w14:val="tx1"/>
            </w14:solidFill>
          </w14:textFill>
        </w:rPr>
        <w:t>5</w:t>
      </w:r>
      <w:r>
        <w:rPr>
          <w:rFonts w:hint="eastAsia" w:ascii="仿宋" w:hAnsi="仿宋" w:eastAsia="仿宋" w:cs="仿宋"/>
          <w:b/>
          <w:bCs w:val="0"/>
          <w:color w:val="000000" w:themeColor="text1"/>
          <w:sz w:val="24"/>
          <w:szCs w:val="24"/>
          <w14:textFill>
            <w14:solidFill>
              <w14:schemeClr w14:val="tx1"/>
            </w14:solidFill>
          </w14:textFill>
        </w:rPr>
        <w:t>年</w:t>
      </w:r>
      <w:r>
        <w:rPr>
          <w:rFonts w:hint="eastAsia" w:ascii="仿宋" w:hAnsi="仿宋" w:eastAsia="仿宋" w:cs="仿宋"/>
          <w:b/>
          <w:bCs w:val="0"/>
          <w:color w:val="000000" w:themeColor="text1"/>
          <w:sz w:val="24"/>
          <w:szCs w:val="24"/>
          <w:lang w:val="en-US" w:eastAsia="zh-CN"/>
          <w14:textFill>
            <w14:solidFill>
              <w14:schemeClr w14:val="tx1"/>
            </w14:solidFill>
          </w14:textFill>
        </w:rPr>
        <w:t>4</w:t>
      </w:r>
      <w:r>
        <w:rPr>
          <w:rFonts w:hint="eastAsia" w:ascii="仿宋" w:hAnsi="仿宋" w:eastAsia="仿宋" w:cs="仿宋"/>
          <w:b/>
          <w:bCs w:val="0"/>
          <w:color w:val="000000" w:themeColor="text1"/>
          <w:sz w:val="24"/>
          <w:szCs w:val="24"/>
          <w14:textFill>
            <w14:solidFill>
              <w14:schemeClr w14:val="tx1"/>
            </w14:solidFill>
          </w14:textFill>
        </w:rPr>
        <w:t>月</w:t>
      </w:r>
      <w:r>
        <w:rPr>
          <w:rFonts w:hint="eastAsia" w:ascii="仿宋" w:hAnsi="仿宋" w:eastAsia="仿宋" w:cs="仿宋"/>
          <w:b/>
          <w:bCs w:val="0"/>
          <w:color w:val="000000" w:themeColor="text1"/>
          <w:sz w:val="24"/>
          <w:szCs w:val="24"/>
          <w:lang w:val="en-US" w:eastAsia="zh-CN"/>
          <w14:textFill>
            <w14:solidFill>
              <w14:schemeClr w14:val="tx1"/>
            </w14:solidFill>
          </w14:textFill>
        </w:rPr>
        <w:t>25</w:t>
      </w:r>
      <w:r>
        <w:rPr>
          <w:rFonts w:hint="eastAsia" w:ascii="仿宋" w:hAnsi="仿宋" w:eastAsia="仿宋" w:cs="仿宋"/>
          <w:b/>
          <w:bCs w:val="0"/>
          <w:color w:val="000000" w:themeColor="text1"/>
          <w:sz w:val="24"/>
          <w:szCs w:val="24"/>
          <w14:textFill>
            <w14:solidFill>
              <w14:schemeClr w14:val="tx1"/>
            </w14:solidFill>
          </w14:textFill>
        </w:rPr>
        <w:t>日</w:t>
      </w:r>
      <w:r>
        <w:rPr>
          <w:rFonts w:hint="eastAsia" w:ascii="仿宋" w:hAnsi="仿宋" w:eastAsia="仿宋" w:cs="仿宋"/>
          <w:b/>
          <w:bCs w:val="0"/>
          <w:color w:val="000000" w:themeColor="text1"/>
          <w:sz w:val="24"/>
          <w:szCs w:val="24"/>
          <w:lang w:val="en-US" w:eastAsia="zh-CN"/>
          <w14:textFill>
            <w14:solidFill>
              <w14:schemeClr w14:val="tx1"/>
            </w14:solidFill>
          </w14:textFill>
        </w:rPr>
        <w:t>9</w:t>
      </w:r>
      <w:r>
        <w:rPr>
          <w:rFonts w:hint="eastAsia" w:ascii="仿宋" w:hAnsi="仿宋" w:eastAsia="仿宋" w:cs="仿宋"/>
          <w:b/>
          <w:bCs w:val="0"/>
          <w:color w:val="000000" w:themeColor="text1"/>
          <w:sz w:val="24"/>
          <w:szCs w:val="24"/>
          <w14:textFill>
            <w14:solidFill>
              <w14:schemeClr w14:val="tx1"/>
            </w14:solidFill>
          </w14:textFill>
        </w:rPr>
        <w:t>时30分（北京时间）。</w:t>
      </w:r>
    </w:p>
    <w:p w14:paraId="6E30BF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3.询比</w:t>
      </w:r>
      <w:r>
        <w:rPr>
          <w:rFonts w:hint="eastAsia" w:ascii="仿宋" w:hAnsi="仿宋" w:eastAsia="仿宋" w:cs="仿宋"/>
          <w:b w:val="0"/>
          <w:bCs/>
          <w:color w:val="000000" w:themeColor="text1"/>
          <w:sz w:val="24"/>
          <w:szCs w:val="24"/>
          <w14:textFill>
            <w14:solidFill>
              <w14:schemeClr w14:val="tx1"/>
            </w14:solidFill>
          </w14:textFill>
        </w:rPr>
        <w:t>地点：江西省机电设备招标有限公司吉安分公司开标厅（江西省吉安市迎宾大道6号13幢10楼）。</w:t>
      </w:r>
    </w:p>
    <w:p w14:paraId="414122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4.本项目为不见面询比，供应商无须到达询比地点。届时请供应商法定代表人（单位负责人）或者其授权的代理人准时通过视频直播方式参与开启会议</w:t>
      </w:r>
      <w:r>
        <w:rPr>
          <w:rFonts w:hint="eastAsia" w:ascii="仿宋" w:hAnsi="仿宋" w:eastAsia="仿宋" w:cs="仿宋"/>
          <w:b w:val="0"/>
          <w:bCs/>
          <w:color w:val="000000" w:themeColor="text1"/>
          <w:sz w:val="24"/>
          <w:szCs w:val="24"/>
          <w14:textFill>
            <w14:solidFill>
              <w14:schemeClr w14:val="tx1"/>
            </w14:solidFill>
          </w14:textFill>
        </w:rPr>
        <w:t>。</w:t>
      </w:r>
    </w:p>
    <w:bookmarkEnd w:id="1"/>
    <w:bookmarkEnd w:id="2"/>
    <w:bookmarkEnd w:id="6"/>
    <w:p w14:paraId="35445C75">
      <w:pPr>
        <w:pStyle w:val="2"/>
        <w:numPr>
          <w:ilvl w:val="1"/>
          <w:numId w:val="0"/>
        </w:numPr>
        <w:ind w:left="568" w:leftChars="0"/>
        <w:rPr>
          <w:color w:val="000000" w:themeColor="text1"/>
          <w14:textFill>
            <w14:solidFill>
              <w14:schemeClr w14:val="tx1"/>
            </w14:solidFill>
          </w14:textFill>
        </w:rPr>
      </w:pPr>
      <w:bookmarkStart w:id="12" w:name="_Toc255310708"/>
      <w:bookmarkStart w:id="13" w:name="_Toc4257"/>
      <w:bookmarkStart w:id="14" w:name="_Toc527651459"/>
      <w:bookmarkStart w:id="15" w:name="_Toc17376"/>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询比</w:t>
      </w:r>
      <w:r>
        <w:rPr>
          <w:rFonts w:hint="eastAsia"/>
          <w:color w:val="000000" w:themeColor="text1"/>
          <w14:textFill>
            <w14:solidFill>
              <w14:schemeClr w14:val="tx1"/>
            </w14:solidFill>
          </w14:textFill>
        </w:rPr>
        <w:t>保证金及费用</w:t>
      </w:r>
      <w:bookmarkEnd w:id="12"/>
      <w:bookmarkEnd w:id="13"/>
      <w:bookmarkEnd w:id="14"/>
      <w:bookmarkEnd w:id="15"/>
    </w:p>
    <w:p w14:paraId="09DD003C">
      <w:pPr>
        <w:spacing w:line="360" w:lineRule="auto"/>
        <w:ind w:firstLine="420"/>
        <w:jc w:val="left"/>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14:textFill>
            <w14:solidFill>
              <w14:schemeClr w14:val="tx1"/>
            </w14:solidFill>
          </w14:textFill>
        </w:rPr>
        <w:t>必须在</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14:textFill>
            <w14:solidFill>
              <w14:schemeClr w14:val="tx1"/>
            </w14:solidFill>
          </w14:textFill>
        </w:rPr>
        <w:t>截止时间前提交</w:t>
      </w:r>
      <w:r>
        <w:rPr>
          <w:rFonts w:hint="eastAsia" w:ascii="仿宋" w:hAnsi="仿宋" w:eastAsia="仿宋" w:cs="仿宋"/>
          <w:b/>
          <w:bCs/>
          <w:color w:val="000000" w:themeColor="text1"/>
          <w:sz w:val="24"/>
          <w:szCs w:val="24"/>
          <w:lang w:eastAsia="zh-CN"/>
          <w14:textFill>
            <w14:solidFill>
              <w14:schemeClr w14:val="tx1"/>
            </w14:solidFill>
          </w14:textFill>
        </w:rPr>
        <w:t>询比</w:t>
      </w:r>
      <w:r>
        <w:rPr>
          <w:rFonts w:hint="eastAsia" w:ascii="仿宋" w:hAnsi="仿宋" w:eastAsia="仿宋" w:cs="仿宋"/>
          <w:b/>
          <w:bCs/>
          <w:color w:val="000000" w:themeColor="text1"/>
          <w:sz w:val="24"/>
          <w:szCs w:val="24"/>
          <w14:textFill>
            <w14:solidFill>
              <w14:schemeClr w14:val="tx1"/>
            </w14:solidFill>
          </w14:textFill>
        </w:rPr>
        <w:t>保证金（保证金金额：</w:t>
      </w:r>
      <w:r>
        <w:rPr>
          <w:rFonts w:hint="eastAsia" w:ascii="仿宋" w:hAnsi="仿宋" w:eastAsia="仿宋" w:cs="仿宋"/>
          <w:b/>
          <w:bCs/>
          <w:color w:val="000000" w:themeColor="text1"/>
          <w:sz w:val="24"/>
          <w:szCs w:val="24"/>
          <w:lang w:val="en-US" w:eastAsia="zh-CN"/>
          <w14:textFill>
            <w14:solidFill>
              <w14:schemeClr w14:val="tx1"/>
            </w14:solidFill>
          </w14:textFill>
        </w:rPr>
        <w:t>4000</w:t>
      </w:r>
      <w:r>
        <w:rPr>
          <w:rFonts w:hint="eastAsia" w:ascii="仿宋" w:hAnsi="仿宋" w:eastAsia="仿宋" w:cs="仿宋"/>
          <w:b/>
          <w:bCs/>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，并作为其</w:t>
      </w:r>
      <w:r>
        <w:rPr>
          <w:rFonts w:hint="eastAsia" w:ascii="仿宋" w:hAnsi="仿宋" w:eastAsia="仿宋" w:cs="仿宋"/>
          <w:color w:val="000000" w:themeColor="text1"/>
          <w:sz w:val="24"/>
          <w:szCs w:val="24"/>
          <w:lang w:eastAsia="zh-CN"/>
          <w14:textFill>
            <w14:solidFill>
              <w14:schemeClr w14:val="tx1"/>
            </w14:solidFill>
          </w14:textFill>
        </w:rPr>
        <w:t>询比响应文件</w:t>
      </w:r>
      <w:r>
        <w:rPr>
          <w:rFonts w:hint="eastAsia" w:ascii="仿宋" w:hAnsi="仿宋" w:eastAsia="仿宋" w:cs="仿宋"/>
          <w:color w:val="000000" w:themeColor="text1"/>
          <w:sz w:val="24"/>
          <w:szCs w:val="24"/>
          <w14:textFill>
            <w14:solidFill>
              <w14:schemeClr w14:val="tx1"/>
            </w14:solidFill>
          </w14:textFill>
        </w:rPr>
        <w:t>的一部分。</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14:textFill>
            <w14:solidFill>
              <w14:schemeClr w14:val="tx1"/>
            </w14:solidFill>
          </w14:textFill>
        </w:rPr>
        <w:t>保证金</w:t>
      </w:r>
      <w:r>
        <w:rPr>
          <w:rFonts w:hint="eastAsia" w:ascii="仿宋" w:hAnsi="仿宋" w:eastAsia="仿宋" w:cs="仿宋"/>
          <w:color w:val="000000" w:themeColor="text1"/>
          <w:sz w:val="24"/>
          <w:szCs w:val="24"/>
          <w:lang w:val="en-US" w:eastAsia="zh-CN"/>
          <w14:textFill>
            <w14:solidFill>
              <w14:schemeClr w14:val="tx1"/>
            </w14:solidFill>
          </w14:textFill>
        </w:rPr>
        <w:t>须</w:t>
      </w: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14:textFill>
            <w14:solidFill>
              <w14:schemeClr w14:val="tx1"/>
            </w14:solidFill>
          </w14:textFill>
        </w:rPr>
        <w:t>截止时间前从</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14:textFill>
            <w14:solidFill>
              <w14:schemeClr w14:val="tx1"/>
            </w14:solidFill>
          </w14:textFill>
        </w:rPr>
        <w:t>账户</w:t>
      </w:r>
      <w:r>
        <w:rPr>
          <w:rFonts w:hint="eastAsia" w:ascii="仿宋" w:hAnsi="仿宋" w:eastAsia="仿宋" w:cs="仿宋"/>
          <w:color w:val="000000" w:themeColor="text1"/>
          <w:sz w:val="24"/>
          <w:szCs w:val="24"/>
          <w:lang w:val="en-US" w:eastAsia="zh-CN"/>
          <w14:textFill>
            <w14:solidFill>
              <w14:schemeClr w14:val="tx1"/>
            </w14:solidFill>
          </w14:textFill>
        </w:rPr>
        <w:t>转账至</w:t>
      </w:r>
      <w:r>
        <w:rPr>
          <w:rFonts w:hint="eastAsia" w:ascii="仿宋" w:hAnsi="仿宋" w:eastAsia="仿宋" w:cs="仿宋"/>
          <w:color w:val="000000" w:themeColor="text1"/>
          <w:sz w:val="24"/>
          <w:szCs w:val="24"/>
          <w14:textFill>
            <w14:solidFill>
              <w14:schemeClr w14:val="tx1"/>
            </w14:solidFill>
          </w14:textFill>
        </w:rPr>
        <w:t>以下账户。</w:t>
      </w:r>
    </w:p>
    <w:p w14:paraId="2904FB7B">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开户银行：江西银行南昌红谷滩支行</w:t>
      </w:r>
    </w:p>
    <w:p w14:paraId="02D32FE8">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号：79190720190600221421</w:t>
      </w:r>
    </w:p>
    <w:p w14:paraId="10AB480E">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账户名称</w:t>
      </w:r>
      <w:r>
        <w:rPr>
          <w:rFonts w:hint="eastAsia" w:ascii="仿宋" w:hAnsi="仿宋" w:eastAsia="仿宋" w:cs="仿宋"/>
          <w:color w:val="000000" w:themeColor="text1"/>
          <w:sz w:val="24"/>
          <w:szCs w:val="24"/>
          <w14:textFill>
            <w14:solidFill>
              <w14:schemeClr w14:val="tx1"/>
            </w14:solidFill>
          </w14:textFill>
        </w:rPr>
        <w:t>：江西省机电设备招标有限公司</w:t>
      </w:r>
    </w:p>
    <w:p w14:paraId="1F811C73">
      <w:pPr>
        <w:numPr>
          <w:ilvl w:val="0"/>
          <w:numId w:val="2"/>
        </w:num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14:textFill>
            <w14:solidFill>
              <w14:schemeClr w14:val="tx1"/>
            </w14:solidFill>
          </w14:textFill>
        </w:rPr>
        <w:t>应承担所有与编写和提交</w:t>
      </w:r>
      <w:r>
        <w:rPr>
          <w:rFonts w:hint="eastAsia" w:ascii="仿宋" w:hAnsi="仿宋" w:eastAsia="仿宋" w:cs="仿宋"/>
          <w:color w:val="000000" w:themeColor="text1"/>
          <w:sz w:val="24"/>
          <w:szCs w:val="24"/>
          <w:lang w:eastAsia="zh-CN"/>
          <w14:textFill>
            <w14:solidFill>
              <w14:schemeClr w14:val="tx1"/>
            </w14:solidFill>
          </w14:textFill>
        </w:rPr>
        <w:t>询比响应文件</w:t>
      </w:r>
      <w:r>
        <w:rPr>
          <w:rFonts w:hint="eastAsia" w:ascii="仿宋" w:hAnsi="仿宋" w:eastAsia="仿宋" w:cs="仿宋"/>
          <w:color w:val="000000" w:themeColor="text1"/>
          <w:sz w:val="24"/>
          <w:szCs w:val="24"/>
          <w14:textFill>
            <w14:solidFill>
              <w14:schemeClr w14:val="tx1"/>
            </w14:solidFill>
          </w14:textFill>
        </w:rPr>
        <w:t>有关的费用，不论</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14:textFill>
            <w14:solidFill>
              <w14:schemeClr w14:val="tx1"/>
            </w14:solidFill>
          </w14:textFill>
        </w:rPr>
        <w:t>的结果如何，</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14:textFill>
            <w14:solidFill>
              <w14:schemeClr w14:val="tx1"/>
            </w14:solidFill>
          </w14:textFill>
        </w:rPr>
        <w:t>自行承担所有参与本次</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14:textFill>
            <w14:solidFill>
              <w14:schemeClr w14:val="tx1"/>
            </w14:solidFill>
          </w14:textFill>
        </w:rPr>
        <w:t>所发生的全部费用。</w:t>
      </w:r>
    </w:p>
    <w:p w14:paraId="5669BEFE">
      <w:pPr>
        <w:pStyle w:val="2"/>
        <w:numPr>
          <w:ilvl w:val="1"/>
          <w:numId w:val="0"/>
        </w:numPr>
        <w:ind w:left="420" w:leftChars="0"/>
        <w:rPr>
          <w:color w:val="000000" w:themeColor="text1"/>
          <w14:textFill>
            <w14:solidFill>
              <w14:schemeClr w14:val="tx1"/>
            </w14:solidFill>
          </w14:textFill>
        </w:rPr>
      </w:pPr>
      <w:bookmarkStart w:id="16" w:name="_Toc31437"/>
      <w:bookmarkStart w:id="17" w:name="_Toc5023"/>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w:t>
      </w:r>
      <w:bookmarkEnd w:id="16"/>
      <w:bookmarkStart w:id="18" w:name="_Toc7950"/>
      <w:r>
        <w:rPr>
          <w:rFonts w:hint="eastAsia"/>
          <w:color w:val="000000" w:themeColor="text1"/>
          <w14:textFill>
            <w14:solidFill>
              <w14:schemeClr w14:val="tx1"/>
            </w14:solidFill>
          </w14:textFill>
        </w:rPr>
        <w:t>联系方式</w:t>
      </w:r>
      <w:bookmarkEnd w:id="17"/>
      <w:bookmarkEnd w:id="18"/>
    </w:p>
    <w:p w14:paraId="1624FF03">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 购 人</w:t>
      </w:r>
      <w:r>
        <w:rPr>
          <w:rFonts w:hint="eastAsia" w:ascii="仿宋" w:hAnsi="仿宋" w:eastAsia="仿宋" w:cs="仿宋"/>
          <w:color w:val="000000" w:themeColor="text1"/>
          <w:sz w:val="24"/>
          <w:szCs w:val="24"/>
          <w14:textFill>
            <w14:solidFill>
              <w14:schemeClr w14:val="tx1"/>
            </w14:solidFill>
          </w14:textFill>
        </w:rPr>
        <w:t>：吉安市中心人民医院</w:t>
      </w:r>
    </w:p>
    <w:p w14:paraId="2A0D6147">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址：江西省吉安市吉州区吉安南大道80号</w:t>
      </w:r>
    </w:p>
    <w:p w14:paraId="2C6D17D6">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val="en-US" w:eastAsia="zh-CN"/>
          <w14:textFill>
            <w14:solidFill>
              <w14:schemeClr w14:val="tx1"/>
            </w14:solidFill>
          </w14:textFill>
        </w:rPr>
        <w:t>周先生</w:t>
      </w:r>
    </w:p>
    <w:p w14:paraId="68ABAC97">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联系电话：0796-8999907</w:t>
      </w:r>
    </w:p>
    <w:p w14:paraId="3040CC3C">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代理机构：江西省机电设备招标有限公司</w:t>
      </w:r>
    </w:p>
    <w:p w14:paraId="32099224">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址：江西省南昌市省政府大院北二路92号咨询大厦</w:t>
      </w:r>
    </w:p>
    <w:p w14:paraId="76976CDD">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val="en-US" w:eastAsia="zh-CN"/>
          <w14:textFill>
            <w14:solidFill>
              <w14:schemeClr w14:val="tx1"/>
            </w14:solidFill>
          </w14:textFill>
        </w:rPr>
        <w:t>王承川</w:t>
      </w:r>
    </w:p>
    <w:p w14:paraId="2C7B5EF9">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联系电话：0791-862</w:t>
      </w:r>
      <w:r>
        <w:rPr>
          <w:rFonts w:hint="eastAsia" w:ascii="仿宋" w:hAnsi="仿宋" w:eastAsia="仿宋" w:cs="仿宋"/>
          <w:color w:val="000000" w:themeColor="text1"/>
          <w:sz w:val="24"/>
          <w:szCs w:val="24"/>
          <w:lang w:val="en-US" w:eastAsia="zh-CN"/>
          <w14:textFill>
            <w14:solidFill>
              <w14:schemeClr w14:val="tx1"/>
            </w14:solidFill>
          </w14:textFill>
        </w:rPr>
        <w:t>72919</w:t>
      </w:r>
    </w:p>
    <w:p w14:paraId="6B0B1FF5">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电子函件：</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"mailto:jz6@jxzxtz.com"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36"/>
          <w:rFonts w:hint="eastAsia" w:ascii="仿宋" w:hAnsi="仿宋" w:eastAsia="仿宋" w:cs="仿宋"/>
          <w:color w:val="000000" w:themeColor="text1"/>
          <w:sz w:val="24"/>
          <w:szCs w:val="24"/>
          <w14:textFill>
            <w14:solidFill>
              <w14:schemeClr w14:val="tx1"/>
            </w14:solidFill>
          </w14:textFill>
        </w:rPr>
        <w:t>jz6@jxzxtz.com</w:t>
      </w:r>
      <w:r>
        <w:rPr>
          <w:rFonts w:hint="eastAsia" w:ascii="仿宋" w:hAnsi="仿宋" w:eastAsia="仿宋" w:cs="仿宋"/>
          <w:color w:val="000000" w:themeColor="text1"/>
          <w:sz w:val="24"/>
          <w:szCs w:val="24"/>
          <w14:textFill>
            <w14:solidFill>
              <w14:schemeClr w14:val="tx1"/>
            </w14:solidFill>
          </w14:textFill>
        </w:rPr>
        <w:fldChar w:fldCharType="end"/>
      </w:r>
    </w:p>
    <w:p w14:paraId="62BA4A9C">
      <w:pPr>
        <w:spacing w:line="360" w:lineRule="auto"/>
        <w:ind w:firstLine="420" w:firstLineChars="200"/>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br w:type="page"/>
      </w:r>
    </w:p>
    <w:p w14:paraId="6C269C0D">
      <w:pPr>
        <w:pStyle w:val="3"/>
        <w:jc w:val="center"/>
        <w:rPr>
          <w:rFonts w:ascii="仿宋" w:hAnsi="仿宋"/>
          <w:color w:val="000000" w:themeColor="text1"/>
          <w:sz w:val="44"/>
          <w:szCs w:val="44"/>
          <w14:textFill>
            <w14:solidFill>
              <w14:schemeClr w14:val="tx1"/>
            </w14:solidFill>
          </w14:textFill>
        </w:rPr>
      </w:pPr>
      <w:bookmarkStart w:id="19" w:name="_Toc11873"/>
      <w:r>
        <w:rPr>
          <w:rFonts w:hint="eastAsia" w:ascii="仿宋" w:hAnsi="仿宋"/>
          <w:color w:val="000000" w:themeColor="text1"/>
          <w:sz w:val="44"/>
          <w:szCs w:val="44"/>
          <w14:textFill>
            <w14:solidFill>
              <w14:schemeClr w14:val="tx1"/>
            </w14:solidFill>
          </w14:textFill>
        </w:rPr>
        <w:t>项目需求</w:t>
      </w:r>
      <w:bookmarkEnd w:id="19"/>
    </w:p>
    <w:p w14:paraId="2E9C037A">
      <w:pPr>
        <w:widowControl/>
        <w:numPr>
          <w:ilvl w:val="0"/>
          <w:numId w:val="0"/>
        </w:numPr>
        <w:spacing w:line="460" w:lineRule="exact"/>
        <w:ind w:left="-425" w:leftChars="0"/>
        <w:jc w:val="left"/>
        <w:rPr>
          <w:rFonts w:hint="default" w:ascii="仿宋" w:hAnsi="仿宋" w:eastAsia="仿宋" w:cs="仿宋"/>
          <w:b/>
          <w:color w:val="000000" w:themeColor="text1"/>
          <w:kern w:val="0"/>
          <w:sz w:val="28"/>
          <w:szCs w:val="28"/>
          <w:highlight w:val="yellow"/>
          <w:lang w:val="en-US" w:eastAsia="zh-CN"/>
          <w14:textFill>
            <w14:solidFill>
              <w14:schemeClr w14:val="tx1"/>
            </w14:solidFill>
          </w14:textFill>
        </w:rPr>
      </w:pPr>
    </w:p>
    <w:p w14:paraId="577DB6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仿宋" w:hAnsi="仿宋" w:eastAsia="仿宋" w:cs="仿宋"/>
          <w:b/>
          <w:bCs/>
          <w:color w:val="000000" w:themeColor="text1"/>
          <w:kern w:val="0"/>
          <w:sz w:val="30"/>
          <w:szCs w:val="30"/>
          <w:lang w:val="en-US" w:eastAsia="zh-CN" w:bidi="ar"/>
          <w14:textFill>
            <w14:solidFill>
              <w14:schemeClr w14:val="tx1"/>
            </w14:solidFill>
          </w14:textFill>
        </w:rPr>
      </w:pPr>
      <w:bookmarkStart w:id="20" w:name="_Toc19084"/>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一、服务要求</w:t>
      </w:r>
      <w:bookmarkEnd w:id="20"/>
    </w:p>
    <w:p w14:paraId="5A93990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1.项目内容</w:t>
      </w:r>
    </w:p>
    <w:p w14:paraId="5BB7FA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1.1.为推动建立健全药品追溯体系，依据《中华人民共和国药品管理法》《药品信息化追溯体系建设指导意见》，督促药品上市许可持有人、生产经营企业和使用单位落实药品追溯责任。推进使用单位信息化系统按药品追溯标准规范改造，记录完整药品追溯信息。在充分调研药品零售和使用环节业务需求，兼顾药监、医保、卫健部门数据采集标准，探索通过流程的优化、标准的融合、数据交换模式的创新。</w:t>
      </w:r>
    </w:p>
    <w:p w14:paraId="4337727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1.2.药品溯源管理系统主要功能：药库追溯码管理、门（急）诊药房追溯码管理系统、住院药房追溯码管理系统、静配中心追溯码管理系统、数据交互。</w:t>
      </w:r>
    </w:p>
    <w:p w14:paraId="2BC1CBB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1.3.实施过程中，响应供应商必须根据采购人后续药品溯源管理要求进行功能优化。</w:t>
      </w:r>
    </w:p>
    <w:p w14:paraId="0EC53B6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1.4.本次询比只针对药品溯源管理系统的软件部分（其中包含与采购人HIS系统的接口费），软件所需使用的硬件全部由采购人自行采购。</w:t>
      </w:r>
    </w:p>
    <w:p w14:paraId="4C23A01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2.应具备的基本功能</w:t>
      </w:r>
    </w:p>
    <w:p w14:paraId="6D8AEC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2.1.编码融合</w:t>
      </w:r>
    </w:p>
    <w:p w14:paraId="78872A4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指将药品追溯码、医院HIS药品编码、药品医保业务编码、商品条码等进行关联映射，实现通过追溯码可快速解析各种类型编码。</w:t>
      </w:r>
    </w:p>
    <w:p w14:paraId="4F0CCC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2.2.可行性：系统应符合医疗机构的实际经营情况和规模，易于操作和维护，避免过于复杂或难以实施。</w:t>
      </w:r>
    </w:p>
    <w:p w14:paraId="38CCB8E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2.3.有效性：系统应具备对药品全过程追溯的功能，包括采购入库、退货出库、门诊发药、拆零、报损等环节，并能采用扫码设备输入药品追溯码信息，在系统上进行准确记录和数据存储。</w:t>
      </w:r>
    </w:p>
    <w:p w14:paraId="3D061C8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2.4.兼容性：系统应能与医疗机构现有HIS的信息化系统无缝对接，避免数据重复录入、信息孤岛。</w:t>
      </w:r>
    </w:p>
    <w:p w14:paraId="433A22D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2.5.可靠性：系统应具备稳定可靠的性能，能够确保24小时不间断运行，并具备数据备份和灾备恢复功能。</w:t>
      </w:r>
    </w:p>
    <w:p w14:paraId="7D5193D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2.6.安全性：系统应具备严格的安全控制措施，如用户权限管理、数据加密等，确保药品追溯数据的安全性和保密性。</w:t>
      </w:r>
    </w:p>
    <w:p w14:paraId="7F650A9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3.扫码设备配置</w:t>
      </w:r>
    </w:p>
    <w:p w14:paraId="7E08089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扫码设备的配置主要是为了能快速识别屏幕码、药品追溯码、商品条码、其他二维码等，是药品追溯工作中所需的前置设备，以下为医疗机构应用场景中常见的扫码设备。</w:t>
      </w:r>
    </w:p>
    <w:p w14:paraId="6600896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在选择实施路径时，应当考虑不同平台、不同操作系统对扫码设备的支持，软件应用应支持可配置不同扫码设备的功能，实现扫码设备扫码后传输药品追溯信息到软件应用中。</w:t>
      </w:r>
    </w:p>
    <w:p w14:paraId="2120587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3.1.手持式二维扫描枪：手持式扫码设备，分有线和无线两种，支持识别一维条码、二维码等，可满足医疗机构药品仓储管理的需求场景；轻松上手，即插即用，且兼容多种系统。</w:t>
      </w:r>
    </w:p>
    <w:p w14:paraId="3CD1109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3.2.二维扫码平台：平台式扫码设备，自动感应，连续识读，支持识别支付宝支付码、微信支付码、一维条码、二维码、医保电子码等，可满足医疗机构门诊发药的需求场景；轻松上手，即插即用，且兼容多种系统。</w:t>
      </w:r>
    </w:p>
    <w:p w14:paraId="067661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3.3.工业级批量扫码设备：平台式扫码设备，自动感应，可一次读取同一个面上的多个条形码、二维码，并且具备拍照、录像、上传数据等多重功能；可满足医疗机构门诊发药量大，效率不高的场景需求，多盒药品一次扫码，大大提高门诊发药的工作效率，提升患者取药体验。</w:t>
      </w:r>
    </w:p>
    <w:p w14:paraId="34D697C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3.4.PDA扫码设备：工业级移动智能终端，支持wifi、GSM/GPRS、蓝牙等多种无线传输方式，支持常见一维码、二维码和RFID等数据采集方式，具备摄像功能，电池容量大，工作续航时间长；可满足医疗机构在采购验收、仓储管理等场景需求。</w:t>
      </w:r>
    </w:p>
    <w:p w14:paraId="505CF92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4.药品品类维护</w:t>
      </w:r>
    </w:p>
    <w:p w14:paraId="1535F71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4.1.HIS系统应具备编码融合功能，支持新增和修改药品目录下的药品追溯标识码和商品码、医保编码绑定，通过扫码的方式自动识别，将药品追溯标识码和商品码进行关联绑定。</w:t>
      </w:r>
    </w:p>
    <w:p w14:paraId="7EE9FDB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4.2.应具备维护医疗机构已有的药品品类信息的功能，HIS系统记录的药品品类信息包括但不限于：药品名称、生产厂家、规格、药品标识码，重点药品分类；并支持同步更新，可以获取最新的药品信息。</w:t>
      </w:r>
    </w:p>
    <w:p w14:paraId="04E1065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5.具体功能要求：</w:t>
      </w:r>
    </w:p>
    <w:p w14:paraId="465BE77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5.1.药库追溯码管理</w:t>
      </w:r>
    </w:p>
    <w:p w14:paraId="05E8C4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5.1.1.药库入库追溯码管理</w:t>
      </w:r>
    </w:p>
    <w:p w14:paraId="33D6AA8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5.1.1.1.追溯码采集</w:t>
      </w:r>
    </w:p>
    <w:p w14:paraId="027D4CF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打造功能强大的追溯码采集模块，支持多种采集方式。其一，通过扫描发票，精准采集配送企业提供的追溯码信息，从源头把控药品来源，确保其可追溯性；其二，扫描药品外包装，快速、准确地录入药品信息，提高入库效率；其三，直接扫描药品本身，进一步提升药品追溯的精准度与效率，为药品入库管理筑牢数据根基。系统兼容多种采集方式，既保障了数据的全面性，又兼顾了不同场景下的操作便利性。</w:t>
      </w:r>
    </w:p>
    <w:p w14:paraId="2862DE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5.1.1.2.追溯码转换</w:t>
      </w:r>
    </w:p>
    <w:p w14:paraId="3AE79AA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创新性地支持无需拆箱操作，仅需扫描大箱码、中包装码或单盒药品追溯码，即可迅速获取每一盒药品的追溯码信息。这一功能极大地提升了入库与管理效率，有效节省了时间和人力成本，减少了繁琐的拆箱流程，使药品入库更加便捷、高效。</w:t>
      </w:r>
    </w:p>
    <w:p w14:paraId="5421647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5.1.1.3.入库信息核验</w:t>
      </w:r>
    </w:p>
    <w:p w14:paraId="2D89934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配备智能化的追溯码匹配核对功能，能够自动将采集到的追溯码信息与入库单数据进行精准比对。借助先进的智能算法，系统可快速识别并自动标记出不一致项，确保数据的准确性与完整性。这种高效、精准的智能化匹配核对方式，不仅大幅提高了核对效率，还显著减轻了人工核对的工作负担，有效提升了药品入库管理的整体效能，为药品的质量安全提供了坚实保障。</w:t>
      </w:r>
    </w:p>
    <w:p w14:paraId="0EFFC4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5.1.1.4.智能预警提示</w:t>
      </w:r>
    </w:p>
    <w:p w14:paraId="170D196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具备强大的智能预警功能，在药品入库环节实时监测药品的关键信息，如有效期、批准文号等。一旦检测到过期药品或存在批准文号异常等潜在问题，系统将立即发出预警提示，及时通知工作人员进行处理。通过这一功能，系统能够有效拦截不合格药品进入药库，确保药品的安全性与合规性，从而为药品质量提供坚实保障，守护患者用药安全。</w:t>
      </w:r>
    </w:p>
    <w:p w14:paraId="2C49AB9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5.1.1.5.入库信息推送</w:t>
      </w:r>
    </w:p>
    <w:p w14:paraId="0DE4E6B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品完成入库流程后，系统将自动把详细的入库信息精准推送至医院信息管理系统（HIS），确保数据的实时更新与同步，实现“一键入库”功能。这一机制使得医院的药剂科、临床科室、财务科等各部门能够即时获取药品库存的最新动态，从而实现高效协同工作，优化药品管理流程，提升医院整体运营效率。</w:t>
      </w:r>
    </w:p>
    <w:p w14:paraId="56B7EE5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5.1.2.药库退货追溯码管理</w:t>
      </w:r>
    </w:p>
    <w:p w14:paraId="314DBE0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5.1.2.1.追溯码采集</w:t>
      </w:r>
    </w:p>
    <w:p w14:paraId="545A14E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系统支持利用 PDA 设备或高拍仪扫描药品的大箱码、中包装码及单盒药品追溯码，无需拆箱即可直接获取每盒药品的追溯码信息，从而快速完成退库操作，大大提高了退库效率并减少了人工操作成本。这一功能显著提高了退库效率，减少了人工操作的复杂性和出错率，确保了药品信息的准确性和完整性。</w:t>
      </w:r>
    </w:p>
    <w:p w14:paraId="1B2C537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5.1.2.2.智能预警提示</w:t>
      </w:r>
    </w:p>
    <w:p w14:paraId="2C498F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具备智能数据预警功能，能够对退药信息中的关键数据（如药品名称、数量等）进行实时监测与分析。一旦发现异常或不一致情况，系统将立即发出预警提示，提醒工作人员及时核查与处理，从而有效保障退药信息的准确性与完整性，提升药品管理的安全性和规范性。</w:t>
      </w:r>
    </w:p>
    <w:p w14:paraId="1F59EFF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5.1.2.3.退货信息推送</w:t>
      </w:r>
    </w:p>
    <w:p w14:paraId="6FE96DD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退货操作完成后，系统将自动将退货信息推送至医院信息管理系统（HIS），确保数据的实时同步与更新。推送的信息全面且详细，涵盖退货药品的基本信息（如名称、数量、批次等）以及追溯码信息。通过这一机制，医院药剂科能够第一时间获取准确的库存动态，及时更新库存记录，从而实现药品库存管理的高效性和精准性，为医院的整体运营提供有力支持。</w:t>
      </w:r>
    </w:p>
    <w:p w14:paraId="3791BEB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5.2.门（急）诊药房追溯码管理系统</w:t>
      </w:r>
    </w:p>
    <w:p w14:paraId="1EC234F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5.2.1.拆零库存管理</w:t>
      </w:r>
    </w:p>
    <w:p w14:paraId="1100847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4553678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3772352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5.2.1.1.多处方合并</w:t>
      </w:r>
    </w:p>
    <w:p w14:paraId="33BFF68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配备前沿的多处方识别与合并发药功能，可精准识别患者多个处方条码或标签头信息。当同一患者存在多个处方时，系统通过智能算法自动将这些处方进行关联和整合，实现一次性合并发药。这一过程不仅显著提高了发药效率，减少了药师的工作负担，还有效避免了发药过程中的遗漏或错误，确保了发药的准确性和安全性。</w:t>
      </w:r>
    </w:p>
    <w:p w14:paraId="2DE0F7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5.2.1.2.追溯码采集</w:t>
      </w:r>
    </w:p>
    <w:p w14:paraId="70C3507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在药品追溯码采集环节，系统融合了先进的 PDA 设备与高拍仪，实现了数据采集与处理的智能化，具体体现在以下三种采集模式：</w:t>
      </w:r>
    </w:p>
    <w:p w14:paraId="16686E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过滤无效追溯码：系统能够自动识别并过滤掉没有追溯码的药品，避免无效数据进入后续流程，保障进入后续流程药品的可追溯性。</w:t>
      </w:r>
    </w:p>
    <w:p w14:paraId="112E850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整盒药品追溯码采集：对于整盒未拆封的药品，系统可以迅速准确地抓取药盒上唯一的追溯码，建立详细的药品信息数据库，为药盒级别的管理和追踪提供数据支持。</w:t>
      </w:r>
    </w:p>
    <w:p w14:paraId="017BB4D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拆零药品追溯码分配：面对需拆零销售或使用的药品，系统依据药品最小销售与使用单元，自动为拆零部分分配拆零后的追溯码，确保每个最小单元的药品都能被精准追踪，提升管理效率与安全性，确保供应链透明及质量可控。</w:t>
      </w:r>
    </w:p>
    <w:p w14:paraId="66E70FA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5.2.1.3.发药信息核验</w:t>
      </w:r>
    </w:p>
    <w:p w14:paraId="01D4E0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将实时采集的药品追溯码信息与医院信息系统（HIS）同步过来的患者处方单信息进行即时匹配和一致性判断。当药师在发药时，系统通过智能算法，依据患者处方单中的药品名称、规格、数量等关键信息，对采集到的药品追溯码对应的药品信息进行实时核对，确保所发药品与患者处方单一致，避免发错药的情况发生，提高发药的准确性与安全性。</w:t>
      </w:r>
    </w:p>
    <w:p w14:paraId="3C556D4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5.2.1.4.智能预警提醒</w:t>
      </w:r>
    </w:p>
    <w:p w14:paraId="2632250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71652EF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5.2.1.5.一键推送</w:t>
      </w:r>
    </w:p>
    <w:p w14:paraId="242D7A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5745781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51B7045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5.2.2.门（急）诊药房退药追溯码管理</w:t>
      </w:r>
    </w:p>
    <w:p w14:paraId="72CA1C4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5.2.2.1.追溯码采集</w:t>
      </w:r>
    </w:p>
    <w:p w14:paraId="6F8A76B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通过PDA或高拍仪对需要退药的药品进行追溯码采集。具体操作时，工作人员只需使用PDA或高拍仪扫描药品包装上的追溯码，系统即可快速读取并识别药品信息，包括药品名称、规格、生产厂家、批号、有效期等关键数据。这一过程无需人工手动输入，大大提高了退药信息采集的效率和准确性，减少了人为错误。</w:t>
      </w:r>
    </w:p>
    <w:p w14:paraId="29B7407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5.2.2.2.智能预警提醒</w:t>
      </w:r>
    </w:p>
    <w:p w14:paraId="3F7CEDC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集成了智能提醒功能，以确保退药过程的安全性和合规性。当工作人员使用PDA或高拍仪扫描药品包装上的追溯码时，系统不仅会快速读取药品的关键信息，还会自动对药品的状态进行智能判断。如果系统检测到药品已过期，或者通过追溯码识别出该药品并非由本医院发出，系统将立即自动发出智能提醒，警示工作人员该药品存在异常情况，从而有效防止过期药品重新流入医院药房，避免非本医院发出的药品被错误退回，保障了药品管理的严谨性和患者用药的安全性。</w:t>
      </w:r>
    </w:p>
    <w:p w14:paraId="60A1DE7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5.2.2.3.一键推送</w:t>
      </w:r>
    </w:p>
    <w:p w14:paraId="1065AE7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完成药品追溯码信息核验后，系统将自动把发药信息推送至医院信息管理系统（HIS），实现信息的实时同步。这包括药品的名称、规格、生产厂家、批号、有效期等详细信息，确保药剂科能够及时更新库存记录。</w:t>
      </w:r>
    </w:p>
    <w:p w14:paraId="6DA695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7C8A845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5.2.3.报表管理</w:t>
      </w:r>
    </w:p>
    <w:p w14:paraId="43E836F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5.2.3.1.拆零用药记录</w:t>
      </w:r>
    </w:p>
    <w:p w14:paraId="759AE39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4AA411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5.2.3.2.发药记录</w:t>
      </w:r>
    </w:p>
    <w:p w14:paraId="4F42947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0337EEA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5.2.3.3.拆零记录</w:t>
      </w:r>
    </w:p>
    <w:p w14:paraId="6752E81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0A5918B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5.3.住院药房追溯码管理系统</w:t>
      </w:r>
    </w:p>
    <w:p w14:paraId="0E06A47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5.3.1.拆零库管理</w:t>
      </w:r>
    </w:p>
    <w:p w14:paraId="64EE353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1D6AE9A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66BDD91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5.3.1.1.追溯码采集</w:t>
      </w:r>
    </w:p>
    <w:p w14:paraId="4D0E6A0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在药品追溯码采集环节，系统融合了先进的 PDA 设备与高拍仪，实现了数据采集与处理的智能化，具体体现在以下三种采集模式：</w:t>
      </w:r>
    </w:p>
    <w:p w14:paraId="7E5AC1B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过滤无效追溯码：系统能够自动识别并过滤掉没有追溯码的药品，避免无效数据进入后续流程，保障进入后续流程药品的可追溯性。</w:t>
      </w:r>
    </w:p>
    <w:p w14:paraId="624674D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整盒药品追溯码采集：对于整盒未拆封的药品，系统可以迅速准确地抓取药盒上唯一的追溯码，建立详细的药品信息数据库，为药盒级别的管理和追踪提供数据支持。</w:t>
      </w:r>
    </w:p>
    <w:p w14:paraId="4FF5618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拆零药品追溯码分配：面对需拆零销售或使用的药品，系统依据药品最小销售与使用单元，自动为拆零部分分配拆零后的追溯码，确保每个最小单元的药品都能被精准追踪，提升管理效率与安全性，确保供应链透明及质量可控。</w:t>
      </w:r>
    </w:p>
    <w:p w14:paraId="0DCFC5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5.3.1.2.智能预警提示</w:t>
      </w:r>
    </w:p>
    <w:p w14:paraId="0BA7D0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6BDB2E8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5.3.1.3.一键推送</w:t>
      </w:r>
    </w:p>
    <w:p w14:paraId="170BDB0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0EECC2E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5.3.2.出院带药追溯码管理</w:t>
      </w:r>
    </w:p>
    <w:p w14:paraId="46A3DB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5.3.2.1.拆零库管理</w:t>
      </w:r>
    </w:p>
    <w:p w14:paraId="5A571E8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6B0D96B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4B3E08B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5.3.2.2.追溯码采集</w:t>
      </w:r>
    </w:p>
    <w:p w14:paraId="36E1C4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过程中，系统通过集成先进的PDA设备或高拍仪，实现了智能化的数据采集与处理功能。当工作人员使用这些设备扫描药品时，系统能够自动识别并过滤掉没有追溯码的药品，确保只有带有有效追溯码的药品进入后续流程。对于整盒未拆封的药品，系统可以快速准确地采集药盒上的追溯码信息。而对于需要拆零销售或使用的药品，系统则具备自动分配追溯码的能力，能够根据药品的最小销售单元或使用单元，为每个拆零后的药品部分分配唯一的追溯码，提升药品管理的效率和安全性，保障药品在供应链中的透明度和质量可控性。</w:t>
      </w:r>
    </w:p>
    <w:p w14:paraId="41D1127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5.3.2.3.智能预警提醒</w:t>
      </w:r>
    </w:p>
    <w:p w14:paraId="3BB5518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6ECD497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5.3.2.4.一键推送</w:t>
      </w:r>
    </w:p>
    <w:p w14:paraId="30CF1E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4A9DD11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5.3.3.住院药房退药追溯码管理</w:t>
      </w:r>
    </w:p>
    <w:p w14:paraId="4E47EDB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5.3.3.1.追溯码采集</w:t>
      </w:r>
    </w:p>
    <w:p w14:paraId="6F1DBBF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通过PDA或高拍仪对需要退药的药品进行追溯码采集。具体操作时，工作人员只需使用PDA或高拍仪扫描药品包装上的追溯码，系统即可快速读取并识别药品信息，包括药品名称、规格、生产厂家、批号、有效期等关键数据。这一过程无需人工手动输入，大大提高了退药信息采集的效率和准确性，减少了人为错误。</w:t>
      </w:r>
    </w:p>
    <w:p w14:paraId="56C4CD2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5.3.3.2.智能预警提醒</w:t>
      </w:r>
    </w:p>
    <w:p w14:paraId="7C25984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集成了智能提醒功能，以确保退药过程的安全性和合规性。当工作人员使用PDA或高拍仪扫描药品包装上的追溯码时，系统不仅会快速读取药品的关键信息，还会自动对药品的状态进行智能判断。如果系统检测到药品已过期，或者通过追溯码识别出该药品并非由本医院发出，系统将立即自动发出智能提醒，警示工作人员该药品存在异常情况，从而有效防止过期药品重新流入医院药房，避免非本医院发出的药品被错误退回，保障了药品管理的严谨性和患者用药的安全性。</w:t>
      </w:r>
    </w:p>
    <w:p w14:paraId="071BE30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5.3.3.3.一键推送</w:t>
      </w:r>
    </w:p>
    <w:p w14:paraId="63E7CA2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完成药品追溯码信息核验后，系统将自动把发药信息推送至医院信息管理系统（HIS），实现信息的实时同步。这包括药品的名称、规格、生产厂家、批号、有效期等详细信息，确保药剂科能够及时更新库存记录。</w:t>
      </w:r>
    </w:p>
    <w:p w14:paraId="06482F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5.3.4.报表管理</w:t>
      </w:r>
    </w:p>
    <w:p w14:paraId="1848234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5.3.4.1.拆零用药记录</w:t>
      </w:r>
    </w:p>
    <w:p w14:paraId="29FF211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159C134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5.3.4.2.发药记录</w:t>
      </w:r>
    </w:p>
    <w:p w14:paraId="2146450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5D10503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5.3.4.3.拆零记录</w:t>
      </w:r>
    </w:p>
    <w:p w14:paraId="7C55FD9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4882808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5.4.静配中心追溯码管理系统</w:t>
      </w:r>
    </w:p>
    <w:p w14:paraId="22DCAF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5.4.1.拆零库管理</w:t>
      </w:r>
    </w:p>
    <w:p w14:paraId="31D54ED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264125F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5.4.1.1.拆零追溯码采集</w:t>
      </w:r>
    </w:p>
    <w:p w14:paraId="776038F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静配中心的药品入库流程中，药师借助PDA或高拍仪采集所有药品的追溯码，并将这些信息录入到拆零库中。具体操作时，药师使用PDA或高拍仪扫描药品包装上的追溯码，系统自动读取并存储这些信息，无需手动输入，确保了数据的准确性和完整性。这一过程不仅提高了入库效率，还为药品的拆零管理和后续使用提供了精准的数据支持。</w:t>
      </w:r>
    </w:p>
    <w:p w14:paraId="002F53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具体而言，在药品入库环节，药师使用PDA或高拍仪对准药品包装上的追溯码进行扫描。设备迅速捕捉追溯码信息并传输至系统，系统自动解析并存储药品的关键信息，包括药品名称、规格、生产厂家、批号、有效期等。通过这种方式，药品信息能够被快速、准确地录入到拆零库中，避免了传统手动输入方式可能导致的错误和遗漏。</w:t>
      </w:r>
    </w:p>
    <w:p w14:paraId="03D455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这种自动化采集与录入的方式，极大地提升了药品入库的效率，减少了药师在数据录入环节所花费的时间和精力。同时，由于追溯码的唯一性和不可篡改性，确保了所录入数据的真实性和完整性，为后续的药品拆零管理、库存盘点以及药品流向追溯等操作奠定了坚实的基础。此外，精准的数据支持有助于优化药品库存管理，合理安排药品的使用顺序，避免药品过期浪费，从而提高了药品管理的整体效能和资源利用率。</w:t>
      </w:r>
    </w:p>
    <w:p w14:paraId="777AAEE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5.4.1.2.药品瓶签赋码</w:t>
      </w:r>
    </w:p>
    <w:p w14:paraId="4F375B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收费流程完成后，系统接收到已收费药品的瓶签信息，随后自动为这些药品赋予拆零后的追溯码。这一过程无需人工干预，系统通过智能算法和数据库匹配，快速生成并绑定追溯码到相应的药品信息上。赋予追溯码后，药品的流通和使用环节将被全程监控，确保药品从收费到患者使用的每个环节都可追溯。这不仅提高了药品管理的效率和准确性，还增强了药品的安全性和透明度，为患者用药安全提供了有力保障。</w:t>
      </w:r>
    </w:p>
    <w:p w14:paraId="5D32DA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5.4.1.3.一键推送</w:t>
      </w:r>
    </w:p>
    <w:p w14:paraId="6C64C6B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赋码流程完成后，系统将自动把药品的相关信息推送给医院信息管理系统（HIS）。这些信息涵盖电子瓶签、药品的通用及商品名称、规格、剂型、生产厂家、批号、有效期以及唯一追溯码等。这一过程无需人工干预，确保了药品信息的及时更新与同步。通过与HIS系统的无缝对接，药剂科等相关管理部门能够实时获取药品的详细数据，从而优化药品库存管理、提高药品调配效率、减少医疗差错，最终提升医院的药品管理质量和患者用药安全水平。</w:t>
      </w:r>
    </w:p>
    <w:p w14:paraId="6C6FC9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5.4.2.报表管理</w:t>
      </w:r>
    </w:p>
    <w:p w14:paraId="1FA5B59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5.4.2.1.拆零用药记录</w:t>
      </w:r>
    </w:p>
    <w:p w14:paraId="66F4BF1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006A843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5.4.2.2.发药记录</w:t>
      </w:r>
    </w:p>
    <w:p w14:paraId="3EB8998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6E59AF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5.4.2.3.拆零记录</w:t>
      </w:r>
    </w:p>
    <w:p w14:paraId="2B7DF72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4D56700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6.数据交互</w:t>
      </w:r>
    </w:p>
    <w:p w14:paraId="2F10435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6.1.HIS系统应支持药品出入库和门诊发药环节的药品追溯信息上传至医保接口、药品上市许可持有人自建或者委托的第三方药品信息化追溯系统等，实现数据互联互通，满足药品追溯、药品监管、医保监管和医疗机构监管等多方需求。</w:t>
      </w:r>
    </w:p>
    <w:p w14:paraId="5CB4D20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6.2.HIS系统记录的入库药品追溯信息数据，宜保存在医疗机构系统内部网络环境，后续发药环节HIS系统无需访问外网即可完成门诊发药，可满足部分医疗机构网络使用环境有限制的，不允许访问外网的情况，保障医疗机构的网络安全和提升发药环节的系统访问速度。</w:t>
      </w:r>
    </w:p>
    <w:p w14:paraId="1F3EF9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7.系统维护</w:t>
      </w:r>
    </w:p>
    <w:p w14:paraId="230DC71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7.1.HIS系统应具备定期备份追溯数据的功能，支持工作人员将数据导出备份或其他备份方式，确保药品追溯数据的安全性和完整性。</w:t>
      </w:r>
    </w:p>
    <w:p w14:paraId="47F08E0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7.2.HIS系统应支持根据业务发展和政策法规的变化，及时进行升级和更新，以满足新的需求和标准。</w:t>
      </w:r>
    </w:p>
    <w:p w14:paraId="082439B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8.其他要求</w:t>
      </w:r>
    </w:p>
    <w:p w14:paraId="7656F37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8.1.响应供应商必须具备药品溯源管理系统软件著作权证书（提供相关资质证书复印件加盖公章）。</w:t>
      </w:r>
    </w:p>
    <w:p w14:paraId="7200F0F6">
      <w:pPr>
        <w:pStyle w:val="79"/>
        <w:keepNext w:val="0"/>
        <w:keepLines w:val="0"/>
        <w:pageBreakBefore w:val="0"/>
        <w:kinsoku/>
        <w:wordWrap/>
        <w:overflowPunct/>
        <w:topLinePunct w:val="0"/>
        <w:autoSpaceDE/>
        <w:autoSpaceDN/>
        <w:bidi w:val="0"/>
        <w:spacing w:line="360" w:lineRule="auto"/>
        <w:jc w:val="both"/>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8.2.响应供应商必须具备演示合格证明（供应商在获取询比文件后，须带相关设备前往采购人药剂科进行现场演示，演示内容为一、服务要求中“2.应具备的基本功能”到“6.数据交互结果”的全部内容。药剂科将对演示合格的供应商的药品溯源管理系统出具演示合格证明，演示时间：2025年4月24日17:00以前，演示联系人：李主任 13707969347）</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p w14:paraId="57EBAF6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5ABD0E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仿宋" w:hAnsi="仿宋" w:eastAsia="仿宋" w:cs="仿宋"/>
          <w:b/>
          <w:bCs/>
          <w:color w:val="000000" w:themeColor="text1"/>
          <w:kern w:val="0"/>
          <w:sz w:val="30"/>
          <w:szCs w:val="30"/>
          <w:lang w:val="en-US" w:eastAsia="zh-CN" w:bidi="ar"/>
          <w14:textFill>
            <w14:solidFill>
              <w14:schemeClr w14:val="tx1"/>
            </w14:solidFill>
          </w14:textFill>
        </w:rPr>
      </w:pPr>
      <w:bookmarkStart w:id="21" w:name="_Toc20841"/>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二、商务条款</w:t>
      </w:r>
      <w:bookmarkEnd w:id="21"/>
    </w:p>
    <w:p w14:paraId="2A0847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1.付款方式：药品溯源管理系统经采购人验收合格后一次性支付合同价款。</w:t>
      </w:r>
    </w:p>
    <w:p w14:paraId="4D43DFB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2、服务期：合同签订后30日内完成本项目所有内容（包括经采购人验收合格）。</w:t>
      </w:r>
    </w:p>
    <w:p w14:paraId="6B10320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3.服务地点：采购人指定地点。</w:t>
      </w:r>
    </w:p>
    <w:p w14:paraId="00E18E95">
      <w:pPr>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4.质保期：提供自验收合格后一年的免费质保。免费质保期满后，后续每年维护费用不超过合同总价的8%。</w:t>
      </w:r>
    </w:p>
    <w:p w14:paraId="3E670C41">
      <w:pPr>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履约保证金：确定成交供应商后，合同签订前，成交供应商必须缴纳合同金额的10%作为履约保证金，如果成交供应商放弃成交或者在实施过程中不根据我院要求对系统功能进一步优化，我院将没收履约保证金，并单方面解除合同，由此引起的一切后果由成交供应商负责。</w:t>
      </w:r>
    </w:p>
    <w:p w14:paraId="5099EC1A">
      <w:pPr>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6.若成交供应商放弃成交，采购人将根据报价由低到高进行递补确定最后成交供应商。</w:t>
      </w:r>
    </w:p>
    <w:p w14:paraId="29E93A5E">
      <w:pPr>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7.提供药品追溯管理系统相关业绩一份（须提供服务合同复印件）。</w:t>
      </w:r>
    </w:p>
    <w:p w14:paraId="6D804507">
      <w:pPr>
        <w:spacing w:line="360" w:lineRule="auto"/>
        <w:jc w:val="left"/>
        <w:rPr>
          <w:rFonts w:hint="default" w:ascii="仿宋" w:hAnsi="仿宋" w:eastAsia="仿宋" w:cs="仿宋"/>
          <w:b/>
          <w:bCs/>
          <w:color w:val="000000" w:themeColor="text1"/>
          <w:sz w:val="24"/>
          <w:szCs w:val="24"/>
          <w:lang w:val="en-US" w:eastAsia="zh-CN"/>
          <w14:textFill>
            <w14:solidFill>
              <w14:schemeClr w14:val="tx1"/>
            </w14:solidFill>
          </w14:textFill>
        </w:rPr>
      </w:pPr>
    </w:p>
    <w:p w14:paraId="02CB5ED1">
      <w:pPr>
        <w:spacing w:line="360" w:lineRule="auto"/>
        <w:jc w:val="left"/>
        <w:rPr>
          <w:rFonts w:hint="default" w:ascii="仿宋" w:hAnsi="仿宋" w:eastAsia="仿宋" w:cs="仿宋"/>
          <w:b/>
          <w:bCs/>
          <w:color w:val="000000" w:themeColor="text1"/>
          <w:sz w:val="24"/>
          <w:szCs w:val="24"/>
          <w:lang w:val="en-US" w:eastAsia="zh-CN"/>
          <w14:textFill>
            <w14:solidFill>
              <w14:schemeClr w14:val="tx1"/>
            </w14:solidFill>
          </w14:textFill>
        </w:rPr>
        <w:sectPr>
          <w:footerReference r:id="rId6" w:type="default"/>
          <w:pgSz w:w="11906" w:h="16838"/>
          <w:pgMar w:top="1440" w:right="1797" w:bottom="1440" w:left="1797" w:header="851" w:footer="992" w:gutter="0"/>
          <w:pgNumType w:fmt="decimal" w:start="1"/>
          <w:cols w:space="720" w:num="1"/>
          <w:docGrid w:type="lines" w:linePitch="312" w:charSpace="0"/>
        </w:sectPr>
      </w:pPr>
      <w:r>
        <w:rPr>
          <w:rFonts w:hint="default" w:ascii="仿宋" w:hAnsi="仿宋" w:eastAsia="仿宋" w:cs="仿宋"/>
          <w:b/>
          <w:bCs/>
          <w:color w:val="000000" w:themeColor="text1"/>
          <w:sz w:val="24"/>
          <w:szCs w:val="24"/>
          <w:lang w:val="en-US" w:eastAsia="zh-CN"/>
          <w14:textFill>
            <w14:solidFill>
              <w14:schemeClr w14:val="tx1"/>
            </w14:solidFill>
          </w14:textFill>
        </w:rPr>
        <w:t>注：以上所有条款须完全满足，如有任一项不满足或负偏离则作无效响应处理。</w:t>
      </w:r>
    </w:p>
    <w:p w14:paraId="44031EB9">
      <w:pPr>
        <w:keepNext/>
        <w:keepLines/>
        <w:numPr>
          <w:ilvl w:val="0"/>
          <w:numId w:val="1"/>
        </w:numPr>
        <w:spacing w:line="600" w:lineRule="auto"/>
        <w:jc w:val="center"/>
        <w:outlineLvl w:val="0"/>
        <w:rPr>
          <w:rFonts w:ascii="仿宋" w:hAnsi="仿宋" w:eastAsia="仿宋" w:cs="Times New Roman"/>
          <w:b/>
          <w:bCs/>
          <w:color w:val="000000" w:themeColor="text1"/>
          <w:kern w:val="44"/>
          <w:sz w:val="44"/>
          <w:szCs w:val="44"/>
          <w14:textFill>
            <w14:solidFill>
              <w14:schemeClr w14:val="tx1"/>
            </w14:solidFill>
          </w14:textFill>
        </w:rPr>
      </w:pPr>
      <w:bookmarkStart w:id="22" w:name="_Toc2215"/>
      <w:r>
        <w:rPr>
          <w:rFonts w:hint="eastAsia" w:ascii="仿宋" w:hAnsi="仿宋" w:eastAsia="仿宋" w:cs="Times New Roman"/>
          <w:b/>
          <w:bCs/>
          <w:color w:val="000000" w:themeColor="text1"/>
          <w:kern w:val="44"/>
          <w:sz w:val="44"/>
          <w:szCs w:val="44"/>
          <w:lang w:eastAsia="zh-CN"/>
          <w14:textFill>
            <w14:solidFill>
              <w14:schemeClr w14:val="tx1"/>
            </w14:solidFill>
          </w14:textFill>
        </w:rPr>
        <w:t>询比</w:t>
      </w:r>
      <w:r>
        <w:rPr>
          <w:rFonts w:hint="eastAsia" w:ascii="仿宋" w:hAnsi="仿宋" w:eastAsia="仿宋" w:cs="Times New Roman"/>
          <w:b/>
          <w:bCs/>
          <w:color w:val="000000" w:themeColor="text1"/>
          <w:kern w:val="44"/>
          <w:sz w:val="44"/>
          <w:szCs w:val="44"/>
          <w14:textFill>
            <w14:solidFill>
              <w14:schemeClr w14:val="tx1"/>
            </w14:solidFill>
          </w14:textFill>
        </w:rPr>
        <w:t>须知</w:t>
      </w:r>
      <w:bookmarkEnd w:id="22"/>
    </w:p>
    <w:p w14:paraId="197A13AE">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w:t>
      </w:r>
      <w:r>
        <w:rPr>
          <w:rFonts w:hint="eastAsia" w:ascii="仿宋" w:hAnsi="仿宋" w:eastAsia="仿宋"/>
          <w:b/>
          <w:bCs/>
          <w:color w:val="000000" w:themeColor="text1"/>
          <w:sz w:val="28"/>
          <w:szCs w:val="28"/>
          <w:lang w:eastAsia="zh-CN"/>
          <w14:textFill>
            <w14:solidFill>
              <w14:schemeClr w14:val="tx1"/>
            </w14:solidFill>
          </w14:textFill>
        </w:rPr>
        <w:t>询比响应文件</w:t>
      </w:r>
      <w:r>
        <w:rPr>
          <w:rFonts w:hint="eastAsia" w:ascii="仿宋" w:hAnsi="仿宋" w:eastAsia="仿宋"/>
          <w:b/>
          <w:bCs/>
          <w:color w:val="000000" w:themeColor="text1"/>
          <w:sz w:val="28"/>
          <w:szCs w:val="28"/>
          <w14:textFill>
            <w14:solidFill>
              <w14:schemeClr w14:val="tx1"/>
            </w14:solidFill>
          </w14:textFill>
        </w:rPr>
        <w:t>编制及递交</w:t>
      </w:r>
    </w:p>
    <w:p w14:paraId="4C4C2BAB">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应认真阅读</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zh-CN"/>
          <w14:textFill>
            <w14:solidFill>
              <w14:schemeClr w14:val="tx1"/>
            </w14:solidFill>
          </w14:textFill>
        </w:rPr>
        <w:t>文件的全部内容，按照</w:t>
      </w:r>
      <w:r>
        <w:rPr>
          <w:rFonts w:hint="eastAsia" w:ascii="仿宋" w:hAnsi="仿宋" w:eastAsia="仿宋" w:cs="仿宋"/>
          <w:color w:val="000000" w:themeColor="text1"/>
          <w:sz w:val="24"/>
          <w:szCs w:val="24"/>
          <w:lang w:val="en-US" w:eastAsia="zh-CN"/>
          <w14:textFill>
            <w14:solidFill>
              <w14:schemeClr w14:val="tx1"/>
            </w14:solidFill>
          </w14:textFill>
        </w:rPr>
        <w:t>询比</w:t>
      </w:r>
      <w:r>
        <w:rPr>
          <w:rFonts w:hint="eastAsia" w:ascii="仿宋" w:hAnsi="仿宋" w:eastAsia="仿宋" w:cs="仿宋"/>
          <w:color w:val="000000" w:themeColor="text1"/>
          <w:sz w:val="24"/>
          <w:szCs w:val="24"/>
          <w:lang w:val="zh-CN"/>
          <w14:textFill>
            <w14:solidFill>
              <w14:schemeClr w14:val="tx1"/>
            </w14:solidFill>
          </w14:textFill>
        </w:rPr>
        <w:t>文件要求提供</w:t>
      </w:r>
      <w:r>
        <w:rPr>
          <w:rFonts w:hint="eastAsia" w:ascii="仿宋" w:hAnsi="仿宋" w:eastAsia="仿宋" w:cs="仿宋"/>
          <w:color w:val="000000" w:themeColor="text1"/>
          <w:sz w:val="24"/>
          <w:szCs w:val="24"/>
          <w:lang w:val="en-US" w:eastAsia="zh-CN"/>
          <w14:textFill>
            <w14:solidFill>
              <w14:schemeClr w14:val="tx1"/>
            </w14:solidFill>
          </w14:textFill>
        </w:rPr>
        <w:t>询比响应文件</w:t>
      </w:r>
      <w:r>
        <w:rPr>
          <w:rFonts w:hint="eastAsia" w:ascii="仿宋" w:hAnsi="仿宋" w:eastAsia="仿宋" w:cs="仿宋"/>
          <w:color w:val="000000" w:themeColor="text1"/>
          <w:sz w:val="24"/>
          <w:szCs w:val="24"/>
          <w:lang w:val="zh-CN"/>
          <w14:textFill>
            <w14:solidFill>
              <w14:schemeClr w14:val="tx1"/>
            </w14:solidFill>
          </w14:textFill>
        </w:rPr>
        <w:t>。</w:t>
      </w:r>
    </w:p>
    <w:p w14:paraId="127850C4">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w:t>
      </w:r>
      <w:r>
        <w:rPr>
          <w:rFonts w:hint="eastAsia" w:ascii="仿宋" w:hAnsi="仿宋" w:eastAsia="仿宋" w:cs="仿宋"/>
          <w:color w:val="000000" w:themeColor="text1"/>
          <w:sz w:val="24"/>
          <w:szCs w:val="24"/>
          <w:lang w:val="en-US" w:eastAsia="zh-CN"/>
          <w14:textFill>
            <w14:solidFill>
              <w14:schemeClr w14:val="tx1"/>
            </w14:solidFill>
          </w14:textFill>
        </w:rPr>
        <w:t>询比文件的递交：</w:t>
      </w:r>
    </w:p>
    <w:p w14:paraId="5524F3FB">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（1）询比响应供应商必须在询比截止时间前将加盖电子签章的加密电子询比响应文件上传至精彩纵横云采购平台网站（网址：https://www.jczh.com)，否则视为无效投标。</w:t>
      </w:r>
    </w:p>
    <w:p w14:paraId="3DB444FA">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可携带CA数字证书至开标现场进行解密。未携带CA数字证书的供应商可在询比截止时间后自行登录精彩纵横云采购平台尝试远程解锁询比响应文件，解密时长为开标截止后30分钟，未在30分钟内完成解密的，视为未提交有效的询比响应文件，后果由供应商自行承担。</w:t>
      </w:r>
    </w:p>
    <w:p w14:paraId="4E63D865">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应自行承担所有与本次询比有关的费用。</w:t>
      </w:r>
    </w:p>
    <w:p w14:paraId="528412EC">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开标程序</w:t>
      </w:r>
    </w:p>
    <w:p w14:paraId="10EC6445">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1、宣布开标；</w:t>
      </w:r>
    </w:p>
    <w:p w14:paraId="0E843538">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2、供应商解密；</w:t>
      </w:r>
    </w:p>
    <w:p w14:paraId="0B294892">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3、对比供应商提交响应文件的设备 MAC 地址；（出现电子响应文件 MAC 信息相同的，一律视同串通投标，作无效投标处理）</w:t>
      </w:r>
    </w:p>
    <w:p w14:paraId="4F561E09">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4、唱标，送评审小组评审。</w:t>
      </w:r>
    </w:p>
    <w:p w14:paraId="5BDDB1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五</w:t>
      </w:r>
      <w:r>
        <w:rPr>
          <w:rFonts w:hint="eastAsia" w:ascii="仿宋" w:hAnsi="仿宋" w:eastAsia="仿宋" w:cs="仿宋"/>
          <w:color w:val="000000" w:themeColor="text1"/>
          <w:sz w:val="24"/>
          <w:szCs w:val="24"/>
          <w:lang w:val="zh-CN"/>
          <w14:textFill>
            <w14:solidFill>
              <w14:schemeClr w14:val="tx1"/>
            </w14:solidFill>
          </w14:textFill>
        </w:rPr>
        <w:t>）线上不见面开启：</w:t>
      </w:r>
    </w:p>
    <w:p w14:paraId="70E8DE3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届时请各供应商法定代表人（单位负责人）或者其授权的代理人注册登录“腾讯会议”出席开启会议，具体操作流程如下：</w:t>
      </w:r>
    </w:p>
    <w:p w14:paraId="5F58661B">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（1）移动端下载“腾讯会议”APP；</w:t>
      </w:r>
    </w:p>
    <w:p w14:paraId="2BCB0B2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（2）注册登录“腾讯会议”；</w:t>
      </w:r>
    </w:p>
    <w:p w14:paraId="77599691">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（3）点击“设置”修改单位名称；（格式：单位全称+法定代表授权委托人姓名）</w:t>
      </w:r>
    </w:p>
    <w:p w14:paraId="5C0CA5D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（4）点击加入会议；</w:t>
      </w:r>
    </w:p>
    <w:p w14:paraId="68C8FCB0">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（5）输入会议号“262-230-259”和会议密码“</w:t>
      </w:r>
      <w:r>
        <w:rPr>
          <w:rFonts w:hint="eastAsia" w:ascii="仿宋" w:hAnsi="仿宋" w:eastAsia="仿宋" w:cs="仿宋"/>
          <w:color w:val="000000" w:themeColor="text1"/>
          <w:sz w:val="24"/>
          <w:szCs w:val="24"/>
          <w:lang w:val="en-US" w:eastAsia="zh-CN"/>
          <w14:textFill>
            <w14:solidFill>
              <w14:schemeClr w14:val="tx1"/>
            </w14:solidFill>
          </w14:textFill>
        </w:rPr>
        <w:t>7692</w:t>
      </w:r>
      <w:r>
        <w:rPr>
          <w:rFonts w:hint="eastAsia" w:ascii="仿宋" w:hAnsi="仿宋" w:eastAsia="仿宋" w:cs="仿宋"/>
          <w:color w:val="000000" w:themeColor="text1"/>
          <w:sz w:val="24"/>
          <w:szCs w:val="24"/>
          <w:lang w:val="zh-CN"/>
          <w14:textFill>
            <w14:solidFill>
              <w14:schemeClr w14:val="tx1"/>
            </w14:solidFill>
          </w14:textFill>
        </w:rPr>
        <w:t>”进入系统；</w:t>
      </w:r>
      <w:bookmarkStart w:id="52" w:name="_GoBack"/>
      <w:bookmarkEnd w:id="52"/>
    </w:p>
    <w:p w14:paraId="6A540DB5">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（6）介绍参加开启会议的有关人员并宣布开标纪律；</w:t>
      </w:r>
    </w:p>
    <w:p w14:paraId="79BE82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（7）宣布供应商名单，介绍响应保证金递交情况；</w:t>
      </w:r>
    </w:p>
    <w:p w14:paraId="48CC2682">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（8）供应商及采购代理机构在精彩纵横云采购平台进行文件解密；</w:t>
      </w:r>
    </w:p>
    <w:p w14:paraId="6DD5A8EB">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（9）开启响应文件，唱开标一览表内容并送评审小组评审；</w:t>
      </w:r>
    </w:p>
    <w:p w14:paraId="5403B663">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（10）开启会议休会，会议室关闭；</w:t>
      </w:r>
    </w:p>
    <w:p w14:paraId="0171803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（11）评审过程中如评审小组需要供应商澄清的，将邀请供应商的法定代表授权委托人登录“腾讯会议”澄清。</w:t>
      </w:r>
    </w:p>
    <w:p w14:paraId="6ECA87B2">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六</w:t>
      </w:r>
      <w:r>
        <w:rPr>
          <w:rFonts w:hint="eastAsia" w:ascii="仿宋" w:hAnsi="仿宋" w:eastAsia="仿宋" w:cs="仿宋"/>
          <w:color w:val="000000" w:themeColor="text1"/>
          <w:sz w:val="24"/>
          <w:szCs w:val="24"/>
          <w:lang w:val="zh-CN"/>
          <w14:textFill>
            <w14:solidFill>
              <w14:schemeClr w14:val="tx1"/>
            </w14:solidFill>
          </w14:textFill>
        </w:rPr>
        <w:t>）特别说明：</w:t>
      </w:r>
    </w:p>
    <w:p w14:paraId="05DFAAB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（1）会议在开启截止时间前20分钟由采购人开启，请各供应商按采购人要求提前做好准备工作；如未到达开启会议现场也未进入腾讯会议的供应商视为对开启会议现场结果认同，不得再提出异议。</w:t>
      </w:r>
    </w:p>
    <w:p w14:paraId="68DA82F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（2）供应商应保持电话及网络畅通，如因供应商原因造成电子响应文件解密失败的，后果由供应商自行承担。</w:t>
      </w:r>
    </w:p>
    <w:p w14:paraId="1EE93E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）供应商对开启有异议的，应当在开启现场提出，否则不予受理。</w:t>
      </w:r>
    </w:p>
    <w:p w14:paraId="2D4A5F4A">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p>
    <w:p w14:paraId="291F2694">
      <w:pPr>
        <w:keepNext w:val="0"/>
        <w:keepLines w:val="0"/>
        <w:pageBreakBefore w:val="0"/>
        <w:widowControl/>
        <w:kinsoku/>
        <w:wordWrap/>
        <w:overflowPunct/>
        <w:topLinePunct w:val="0"/>
        <w:autoSpaceDE/>
        <w:autoSpaceDN/>
        <w:bidi w:val="0"/>
        <w:adjustRightInd/>
        <w:snapToGrid/>
        <w:spacing w:line="360" w:lineRule="auto"/>
        <w:ind w:firstLine="422" w:firstLineChars="150"/>
        <w:jc w:val="left"/>
        <w:textAlignment w:val="auto"/>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二、询比文件的修改</w:t>
      </w:r>
    </w:p>
    <w:p w14:paraId="56BF1E0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（一）询比截止时间前，无论出于何种原因，采购人可对询比文件进行修改。</w:t>
      </w:r>
    </w:p>
    <w:p w14:paraId="7DD79A6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（二）询比文件的修改将以书面形式通知所有购买询比文件的询比响应供应商，并对其具有约束力。询比响应供应商在收到上述通知后，应立即向采购人回函确认。</w:t>
      </w:r>
    </w:p>
    <w:p w14:paraId="0CC7154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（三）为使询比响应供应商准备询比时有充分时间对询比文件的修改部分进行研究，采购人可自行决定推迟询比截止时间。</w:t>
      </w:r>
    </w:p>
    <w:p w14:paraId="1B784E61">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请各询比响应供应商实时关注精彩纵横云采购平台网站（https://www.jczh.com），及时下载答疑澄清文件，并在下载的答疑澄清文件界面制作并上传电子询比响应文件（包括在发布答疑澄清文件之前已上传的电子询比响应文件，需重新制作并上传），否则开标现场将无法解密电子询比响应文件，由此引发的后果由询比响应供应商自行承担。</w:t>
      </w:r>
    </w:p>
    <w:p w14:paraId="51290BBC">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eastAsia="zh-CN"/>
          <w14:textFill>
            <w14:solidFill>
              <w14:schemeClr w14:val="tx1"/>
            </w14:solidFill>
          </w14:textFill>
        </w:rPr>
        <w:t>评审小组</w:t>
      </w:r>
      <w:r>
        <w:rPr>
          <w:rFonts w:hint="eastAsia" w:ascii="仿宋" w:hAnsi="仿宋" w:eastAsia="仿宋"/>
          <w:b/>
          <w:bCs/>
          <w:color w:val="000000" w:themeColor="text1"/>
          <w:sz w:val="28"/>
          <w:szCs w:val="28"/>
          <w14:textFill>
            <w14:solidFill>
              <w14:schemeClr w14:val="tx1"/>
            </w14:solidFill>
          </w14:textFill>
        </w:rPr>
        <w:t>组成与规定</w:t>
      </w:r>
    </w:p>
    <w:p w14:paraId="7F319E76">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吉安市中心人民医院</w:t>
      </w:r>
      <w:r>
        <w:rPr>
          <w:rFonts w:hint="eastAsia" w:ascii="仿宋" w:hAnsi="仿宋" w:eastAsia="仿宋" w:cs="仿宋"/>
          <w:color w:val="000000" w:themeColor="text1"/>
          <w:sz w:val="24"/>
          <w:szCs w:val="24"/>
          <w:lang w:val="zh-CN"/>
          <w14:textFill>
            <w14:solidFill>
              <w14:schemeClr w14:val="tx1"/>
            </w14:solidFill>
          </w14:textFill>
        </w:rPr>
        <w:t>将根据</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lang w:val="zh-CN"/>
          <w14:textFill>
            <w14:solidFill>
              <w14:schemeClr w14:val="tx1"/>
            </w14:solidFill>
          </w14:textFill>
        </w:rPr>
        <w:t>项目的特点，在委托的监督人员监督下依法组建评审小组，评标由组建的评审小组负责。</w:t>
      </w:r>
    </w:p>
    <w:p w14:paraId="42AE9996">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（二）评审小组按照</w:t>
      </w: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lang w:val="zh-CN"/>
          <w14:textFill>
            <w14:solidFill>
              <w14:schemeClr w14:val="tx1"/>
            </w14:solidFill>
          </w14:textFill>
        </w:rPr>
        <w:t>文件规定的评标标准和方法开展评标工作，负责审议所有</w:t>
      </w:r>
      <w:r>
        <w:rPr>
          <w:rFonts w:hint="eastAsia" w:ascii="仿宋" w:hAnsi="仿宋" w:eastAsia="仿宋" w:cs="仿宋"/>
          <w:color w:val="000000" w:themeColor="text1"/>
          <w:sz w:val="24"/>
          <w:szCs w:val="24"/>
          <w:lang w:eastAsia="zh-CN"/>
          <w14:textFill>
            <w14:solidFill>
              <w14:schemeClr w14:val="tx1"/>
            </w14:solidFill>
          </w14:textFill>
        </w:rPr>
        <w:t>询比响应文件</w:t>
      </w:r>
      <w:r>
        <w:rPr>
          <w:rFonts w:hint="eastAsia" w:ascii="仿宋" w:hAnsi="仿宋" w:eastAsia="仿宋" w:cs="仿宋"/>
          <w:color w:val="000000" w:themeColor="text1"/>
          <w:sz w:val="24"/>
          <w:szCs w:val="24"/>
          <w:lang w:val="zh-CN"/>
          <w14:textFill>
            <w14:solidFill>
              <w14:schemeClr w14:val="tx1"/>
            </w14:solidFill>
          </w14:textFill>
        </w:rPr>
        <w:t>，并推荐中选候选人。</w:t>
      </w:r>
    </w:p>
    <w:p w14:paraId="27088670">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（三）评审小组成员和有关工作人员不得透露对</w:t>
      </w:r>
      <w:r>
        <w:rPr>
          <w:rFonts w:hint="eastAsia" w:ascii="仿宋" w:hAnsi="仿宋" w:eastAsia="仿宋" w:cs="仿宋"/>
          <w:color w:val="000000" w:themeColor="text1"/>
          <w:sz w:val="24"/>
          <w:szCs w:val="24"/>
          <w:lang w:eastAsia="zh-CN"/>
          <w14:textFill>
            <w14:solidFill>
              <w14:schemeClr w14:val="tx1"/>
            </w14:solidFill>
          </w14:textFill>
        </w:rPr>
        <w:t>询比响应文件</w:t>
      </w:r>
      <w:r>
        <w:rPr>
          <w:rFonts w:hint="eastAsia" w:ascii="仿宋" w:hAnsi="仿宋" w:eastAsia="仿宋" w:cs="仿宋"/>
          <w:color w:val="000000" w:themeColor="text1"/>
          <w:sz w:val="24"/>
          <w:szCs w:val="24"/>
          <w:lang w:val="zh-CN"/>
          <w14:textFill>
            <w14:solidFill>
              <w14:schemeClr w14:val="tx1"/>
            </w14:solidFill>
          </w14:textFill>
        </w:rPr>
        <w:t>的评审、比较和中选候选人的推荐情况以及与评标有关的其他情况。</w:t>
      </w:r>
    </w:p>
    <w:p w14:paraId="53FC4C25">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（四）评审小组成员有下列情形之一的，应当回避：</w:t>
      </w:r>
    </w:p>
    <w:p w14:paraId="71B8E03F">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1、与</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的主要负责人是近亲属的；</w:t>
      </w:r>
    </w:p>
    <w:p w14:paraId="209DCA2A">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2、与</w:t>
      </w:r>
      <w:r>
        <w:rPr>
          <w:rFonts w:hint="eastAsia" w:ascii="仿宋" w:hAnsi="仿宋" w:eastAsia="仿宋" w:cs="仿宋"/>
          <w:color w:val="000000" w:themeColor="text1"/>
          <w:sz w:val="24"/>
          <w:szCs w:val="24"/>
          <w:lang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有经济利益关系，可能影响对询比公正评审的；</w:t>
      </w:r>
    </w:p>
    <w:p w14:paraId="23F6018E">
      <w:pPr>
        <w:spacing w:line="360" w:lineRule="auto"/>
        <w:ind w:firstLine="480" w:firstLineChars="200"/>
        <w:jc w:val="left"/>
        <w:rPr>
          <w:rFonts w:ascii="仿宋" w:hAnsi="仿宋" w:eastAsia="仿宋"/>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3、曾因在招标、评标以及其他与招标询比有关活动中从事违法行为而受过行政处罚或</w:t>
      </w:r>
      <w:r>
        <w:rPr>
          <w:rFonts w:hint="eastAsia" w:ascii="仿宋" w:hAnsi="仿宋" w:eastAsia="仿宋" w:cs="仿宋"/>
          <w:color w:val="000000" w:themeColor="text1"/>
          <w:sz w:val="24"/>
          <w:szCs w:val="24"/>
          <w:highlight w:val="none"/>
          <w:lang w:val="zh-CN"/>
          <w14:textFill>
            <w14:solidFill>
              <w14:schemeClr w14:val="tx1"/>
            </w14:solidFill>
          </w14:textFill>
        </w:rPr>
        <w:t>刑事处罚的。</w:t>
      </w:r>
    </w:p>
    <w:p w14:paraId="2F543000">
      <w:pPr>
        <w:widowControl/>
        <w:spacing w:line="640" w:lineRule="exact"/>
        <w:ind w:firstLine="422" w:firstLineChars="15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三、</w:t>
      </w:r>
      <w:r>
        <w:rPr>
          <w:rFonts w:hint="eastAsia" w:ascii="仿宋" w:hAnsi="仿宋" w:eastAsia="仿宋"/>
          <w:b/>
          <w:bCs/>
          <w:color w:val="000000" w:themeColor="text1"/>
          <w:sz w:val="28"/>
          <w:szCs w:val="28"/>
          <w:highlight w:val="none"/>
          <w:lang w:val="en-US" w:eastAsia="zh-CN"/>
          <w14:textFill>
            <w14:solidFill>
              <w14:schemeClr w14:val="tx1"/>
            </w14:solidFill>
          </w14:textFill>
        </w:rPr>
        <w:t>询比</w:t>
      </w:r>
      <w:r>
        <w:rPr>
          <w:rFonts w:hint="eastAsia" w:ascii="仿宋" w:hAnsi="仿宋" w:eastAsia="仿宋"/>
          <w:b/>
          <w:bCs/>
          <w:color w:val="000000" w:themeColor="text1"/>
          <w:sz w:val="28"/>
          <w:szCs w:val="28"/>
          <w:highlight w:val="none"/>
          <w14:textFill>
            <w14:solidFill>
              <w14:schemeClr w14:val="tx1"/>
            </w14:solidFill>
          </w14:textFill>
        </w:rPr>
        <w:t>程序</w:t>
      </w:r>
    </w:p>
    <w:p w14:paraId="71651FF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（一）资格审查</w:t>
      </w:r>
    </w:p>
    <w:p w14:paraId="66737DE1">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、对照第一章“询比公告”第二条“</w:t>
      </w:r>
      <w:r>
        <w:rPr>
          <w:rFonts w:hint="eastAsia" w:ascii="仿宋" w:hAnsi="仿宋" w:eastAsia="仿宋" w:cs="仿宋"/>
          <w:color w:val="000000" w:themeColor="text1"/>
          <w:sz w:val="24"/>
          <w:szCs w:val="24"/>
          <w:highlight w:val="none"/>
          <w:lang w:eastAsia="zh-CN"/>
          <w14:textFill>
            <w14:solidFill>
              <w14:schemeClr w14:val="tx1"/>
            </w14:solidFill>
          </w14:textFill>
        </w:rPr>
        <w:t>询比响应供应商</w:t>
      </w:r>
      <w:r>
        <w:rPr>
          <w:rFonts w:hint="eastAsia" w:ascii="仿宋" w:hAnsi="仿宋" w:eastAsia="仿宋" w:cs="仿宋"/>
          <w:color w:val="000000" w:themeColor="text1"/>
          <w:sz w:val="24"/>
          <w:szCs w:val="24"/>
          <w:highlight w:val="none"/>
          <w:lang w:val="zh-CN"/>
          <w14:textFill>
            <w14:solidFill>
              <w14:schemeClr w14:val="tx1"/>
            </w14:solidFill>
          </w14:textFill>
        </w:rPr>
        <w:t>资格</w:t>
      </w:r>
      <w:r>
        <w:rPr>
          <w:rFonts w:hint="eastAsia" w:ascii="仿宋" w:hAnsi="仿宋" w:eastAsia="仿宋" w:cs="仿宋"/>
          <w:color w:val="000000" w:themeColor="text1"/>
          <w:sz w:val="24"/>
          <w:szCs w:val="24"/>
          <w:highlight w:val="none"/>
          <w14:textFill>
            <w14:solidFill>
              <w14:schemeClr w14:val="tx1"/>
            </w14:solidFill>
          </w14:textFill>
        </w:rPr>
        <w:t>要求</w:t>
      </w:r>
      <w:r>
        <w:rPr>
          <w:rFonts w:hint="eastAsia" w:ascii="仿宋" w:hAnsi="仿宋" w:eastAsia="仿宋" w:cs="仿宋"/>
          <w:color w:val="000000" w:themeColor="text1"/>
          <w:sz w:val="24"/>
          <w:szCs w:val="24"/>
          <w:highlight w:val="none"/>
          <w:lang w:val="zh-CN"/>
          <w14:textFill>
            <w14:solidFill>
              <w14:schemeClr w14:val="tx1"/>
            </w14:solidFill>
          </w14:textFill>
        </w:rPr>
        <w:t>”进行资格审查。</w:t>
      </w:r>
      <w:r>
        <w:rPr>
          <w:rFonts w:hint="eastAsia" w:ascii="仿宋" w:hAnsi="仿宋" w:eastAsia="仿宋" w:cs="仿宋"/>
          <w:color w:val="000000" w:themeColor="text1"/>
          <w:sz w:val="24"/>
          <w:szCs w:val="24"/>
          <w:highlight w:val="none"/>
          <w:lang w:eastAsia="zh-CN"/>
          <w14:textFill>
            <w14:solidFill>
              <w14:schemeClr w14:val="tx1"/>
            </w14:solidFill>
          </w14:textFill>
        </w:rPr>
        <w:t>询比响应供应商</w:t>
      </w:r>
      <w:r>
        <w:rPr>
          <w:rFonts w:hint="eastAsia" w:ascii="仿宋" w:hAnsi="仿宋" w:eastAsia="仿宋" w:cs="仿宋"/>
          <w:color w:val="000000" w:themeColor="text1"/>
          <w:sz w:val="24"/>
          <w:szCs w:val="24"/>
          <w:highlight w:val="none"/>
          <w:lang w:val="zh-CN"/>
          <w14:textFill>
            <w14:solidFill>
              <w14:schemeClr w14:val="tx1"/>
            </w14:solidFill>
          </w14:textFill>
        </w:rPr>
        <w:t>未按要求提供有效证明材料，或证明文件不全，或不具备规定的资格要求的，均以无效申请处理。</w:t>
      </w:r>
    </w:p>
    <w:p w14:paraId="65CC5ED6">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、资格审查合格的，才有资格进入下一步的询比程序。</w:t>
      </w:r>
    </w:p>
    <w:p w14:paraId="1F52273C">
      <w:pPr>
        <w:spacing w:line="360" w:lineRule="auto"/>
        <w:ind w:firstLine="480" w:firstLineChars="200"/>
        <w:jc w:val="left"/>
        <w:rPr>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val="zh-CN"/>
          <w14:textFill>
            <w14:solidFill>
              <w14:schemeClr w14:val="tx1"/>
            </w14:solidFill>
          </w14:textFill>
        </w:rPr>
        <w:t>）资格审查详细条款</w:t>
      </w:r>
    </w:p>
    <w:p w14:paraId="4205A363">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1.供应商须为中华人民共和国境内合法注册的独立法人（提供营业执照）；</w:t>
      </w:r>
    </w:p>
    <w:p w14:paraId="181AC53A">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2.具有良好的商业信誉和健全的财务会计制度（提供询比前二个年度内任意一个年度经审计的财务状况报告或者在询比前三个月内其基本开户行出具的资信证明）；</w:t>
      </w:r>
    </w:p>
    <w:p w14:paraId="3907328B">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3.有依法缴纳税收和社会保障资金的良好记录（税务登记证（实行“统一社会信用代码”的不需单独提供）和询比前六个月内任意一个月的企业缴税凭证或证明；询比前六个月内任意一个月的缴纳社会保障资金的凭证或当地社会保障局出具的缴纳明细。依法免税或不需要缴纳社会保障资金的供应商，应当提供相关文件证明其依法免税或不需要缴纳社会保障资金）；</w:t>
      </w:r>
    </w:p>
    <w:p w14:paraId="0694EAF5">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4.具有履行合同所必需的设备和专业技术能力（提供承诺函，格式自拟）；</w:t>
      </w:r>
    </w:p>
    <w:p w14:paraId="7669AFF2">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5.参加本次</w:t>
      </w:r>
      <w:r>
        <w:rPr>
          <w:rFonts w:hint="eastAsia" w:ascii="仿宋" w:hAnsi="仿宋" w:eastAsia="仿宋"/>
          <w:b/>
          <w:bCs/>
          <w:color w:val="000000" w:themeColor="text1"/>
          <w:sz w:val="24"/>
          <w:szCs w:val="24"/>
          <w:highlight w:val="none"/>
          <w:lang w:val="en-US" w:eastAsia="zh-CN"/>
          <w14:textFill>
            <w14:solidFill>
              <w14:schemeClr w14:val="tx1"/>
            </w14:solidFill>
          </w14:textFill>
        </w:rPr>
        <w:t>询比</w:t>
      </w:r>
      <w:r>
        <w:rPr>
          <w:rFonts w:hint="eastAsia" w:ascii="仿宋" w:hAnsi="仿宋" w:eastAsia="仿宋"/>
          <w:b/>
          <w:bCs/>
          <w:color w:val="000000" w:themeColor="text1"/>
          <w:sz w:val="24"/>
          <w:szCs w:val="24"/>
          <w:highlight w:val="none"/>
          <w14:textFill>
            <w14:solidFill>
              <w14:schemeClr w14:val="tx1"/>
            </w14:solidFill>
          </w14:textFill>
        </w:rPr>
        <w:t>前五年内，在经营活动中没有重大违法记录（提供承诺函，格式自拟）；</w:t>
      </w:r>
    </w:p>
    <w:p w14:paraId="6488D1CD">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6.缴纳询比保证金（提供缴纳汇款凭证）；</w:t>
      </w:r>
    </w:p>
    <w:p w14:paraId="1B263000">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7.本项目不接受联合体参与询比。</w:t>
      </w:r>
    </w:p>
    <w:p w14:paraId="593B64B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三</w:t>
      </w:r>
      <w:r>
        <w:rPr>
          <w:rFonts w:hint="eastAsia" w:ascii="仿宋" w:hAnsi="仿宋" w:eastAsia="仿宋" w:cs="仿宋"/>
          <w:color w:val="000000" w:themeColor="text1"/>
          <w:sz w:val="24"/>
          <w:szCs w:val="24"/>
          <w:highlight w:val="none"/>
          <w:lang w:val="zh-CN"/>
          <w14:textFill>
            <w14:solidFill>
              <w14:schemeClr w14:val="tx1"/>
            </w14:solidFill>
          </w14:textFill>
        </w:rPr>
        <w:t>）符合性检查</w:t>
      </w:r>
    </w:p>
    <w:p w14:paraId="0B1D29E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依据询比文件规定，评审小组对经资格审查合格的</w:t>
      </w:r>
      <w:r>
        <w:rPr>
          <w:rFonts w:hint="eastAsia" w:ascii="仿宋" w:hAnsi="仿宋" w:eastAsia="仿宋" w:cs="仿宋"/>
          <w:color w:val="000000" w:themeColor="text1"/>
          <w:sz w:val="24"/>
          <w:szCs w:val="24"/>
          <w:highlight w:val="none"/>
          <w:lang w:eastAsia="zh-CN"/>
          <w14:textFill>
            <w14:solidFill>
              <w14:schemeClr w14:val="tx1"/>
            </w14:solidFill>
          </w14:textFill>
        </w:rPr>
        <w:t>询比响应供应商</w:t>
      </w:r>
      <w:r>
        <w:rPr>
          <w:rFonts w:hint="eastAsia" w:ascii="仿宋" w:hAnsi="仿宋" w:eastAsia="仿宋" w:cs="仿宋"/>
          <w:color w:val="000000" w:themeColor="text1"/>
          <w:sz w:val="24"/>
          <w:szCs w:val="24"/>
          <w:highlight w:val="none"/>
          <w:lang w:val="zh-CN"/>
          <w14:textFill>
            <w14:solidFill>
              <w14:schemeClr w14:val="tx1"/>
            </w14:solidFill>
          </w14:textFill>
        </w:rPr>
        <w:t>递交的</w:t>
      </w:r>
      <w:r>
        <w:rPr>
          <w:rFonts w:hint="eastAsia" w:ascii="仿宋" w:hAnsi="仿宋" w:eastAsia="仿宋" w:cs="仿宋"/>
          <w:color w:val="000000" w:themeColor="text1"/>
          <w:sz w:val="24"/>
          <w:szCs w:val="24"/>
          <w:highlight w:val="none"/>
          <w:lang w:eastAsia="zh-CN"/>
          <w14:textFill>
            <w14:solidFill>
              <w14:schemeClr w14:val="tx1"/>
            </w14:solidFill>
          </w14:textFill>
        </w:rPr>
        <w:t>询比响应文件</w:t>
      </w:r>
      <w:r>
        <w:rPr>
          <w:rFonts w:hint="eastAsia" w:ascii="仿宋" w:hAnsi="仿宋" w:eastAsia="仿宋" w:cs="仿宋"/>
          <w:color w:val="000000" w:themeColor="text1"/>
          <w:sz w:val="24"/>
          <w:szCs w:val="24"/>
          <w:highlight w:val="none"/>
          <w:lang w:val="zh-CN"/>
          <w14:textFill>
            <w14:solidFill>
              <w14:schemeClr w14:val="tx1"/>
            </w14:solidFill>
          </w14:textFill>
        </w:rPr>
        <w:t>的有效性、完整性和对询比文件的响应程度、有无错误等进行检查，以确定是否对询比文件的实质性要求作出响应，剔除无效响应文件。</w:t>
      </w:r>
    </w:p>
    <w:p w14:paraId="1397D7C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询比响应文件</w:t>
      </w:r>
      <w:r>
        <w:rPr>
          <w:rFonts w:hint="eastAsia" w:ascii="仿宋" w:hAnsi="仿宋" w:eastAsia="仿宋" w:cs="仿宋"/>
          <w:color w:val="000000" w:themeColor="text1"/>
          <w:sz w:val="24"/>
          <w:szCs w:val="24"/>
          <w:highlight w:val="none"/>
          <w:lang w:val="zh-CN"/>
          <w14:textFill>
            <w14:solidFill>
              <w14:schemeClr w14:val="tx1"/>
            </w14:solidFill>
          </w14:textFill>
        </w:rPr>
        <w:t>未对本询比文件作实质性响应，或出现下列情况之一的，按无效申请处理：</w:t>
      </w:r>
    </w:p>
    <w:p w14:paraId="5C64893E">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询比</w:t>
      </w:r>
      <w:r>
        <w:rPr>
          <w:rFonts w:hint="eastAsia" w:ascii="仿宋" w:hAnsi="仿宋" w:eastAsia="仿宋" w:cs="仿宋"/>
          <w:color w:val="000000" w:themeColor="text1"/>
          <w:sz w:val="24"/>
          <w:szCs w:val="24"/>
          <w:highlight w:val="none"/>
          <w:lang w:val="zh-CN"/>
          <w14:textFill>
            <w14:solidFill>
              <w14:schemeClr w14:val="tx1"/>
            </w14:solidFill>
          </w14:textFill>
        </w:rPr>
        <w:t>没有法定代表人签字或委托代理人没有法定代表人签署委托授权书的。</w:t>
      </w:r>
    </w:p>
    <w:p w14:paraId="04E6DD1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询比响应文件</w:t>
      </w:r>
      <w:r>
        <w:rPr>
          <w:rFonts w:hint="eastAsia" w:ascii="仿宋" w:hAnsi="仿宋" w:eastAsia="仿宋" w:cs="仿宋"/>
          <w:color w:val="000000" w:themeColor="text1"/>
          <w:sz w:val="24"/>
          <w:szCs w:val="24"/>
          <w:highlight w:val="none"/>
          <w:lang w:val="zh-CN"/>
          <w14:textFill>
            <w14:solidFill>
              <w14:schemeClr w14:val="tx1"/>
            </w14:solidFill>
          </w14:textFill>
        </w:rPr>
        <w:t>修改处没有法定代表人或委托代理人签名并加盖公章的。</w:t>
      </w:r>
    </w:p>
    <w:p w14:paraId="13549E6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、未响应询比文件中规定的技术条款要求的；</w:t>
      </w:r>
    </w:p>
    <w:p w14:paraId="6F2ED7B7">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、未响应询比文件中规定的商务条款要求的；</w:t>
      </w:r>
    </w:p>
    <w:p w14:paraId="7074EF82">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询比响应供应商</w:t>
      </w:r>
      <w:r>
        <w:rPr>
          <w:rFonts w:hint="eastAsia" w:ascii="仿宋" w:hAnsi="仿宋" w:eastAsia="仿宋" w:cs="仿宋"/>
          <w:color w:val="000000" w:themeColor="text1"/>
          <w:sz w:val="24"/>
          <w:szCs w:val="24"/>
          <w:highlight w:val="none"/>
          <w14:textFill>
            <w14:solidFill>
              <w14:schemeClr w14:val="tx1"/>
            </w14:solidFill>
          </w14:textFill>
        </w:rPr>
        <w:t>未提交</w:t>
      </w:r>
      <w:r>
        <w:rPr>
          <w:rFonts w:hint="eastAsia" w:ascii="仿宋" w:hAnsi="仿宋" w:eastAsia="仿宋" w:cs="仿宋"/>
          <w:color w:val="000000" w:themeColor="text1"/>
          <w:sz w:val="24"/>
          <w:szCs w:val="24"/>
          <w:highlight w:val="none"/>
          <w:lang w:eastAsia="zh-CN"/>
          <w14:textFill>
            <w14:solidFill>
              <w14:schemeClr w14:val="tx1"/>
            </w14:solidFill>
          </w14:textFill>
        </w:rPr>
        <w:t>询比</w:t>
      </w:r>
      <w:r>
        <w:rPr>
          <w:rFonts w:hint="eastAsia" w:ascii="仿宋" w:hAnsi="仿宋" w:eastAsia="仿宋" w:cs="仿宋"/>
          <w:color w:val="000000" w:themeColor="text1"/>
          <w:sz w:val="24"/>
          <w:szCs w:val="24"/>
          <w:highlight w:val="none"/>
          <w14:textFill>
            <w14:solidFill>
              <w14:schemeClr w14:val="tx1"/>
            </w14:solidFill>
          </w14:textFill>
        </w:rPr>
        <w:t>保证金或金额不足，</w:t>
      </w:r>
      <w:r>
        <w:rPr>
          <w:rFonts w:hint="eastAsia" w:ascii="仿宋" w:hAnsi="仿宋" w:eastAsia="仿宋" w:cs="仿宋"/>
          <w:color w:val="000000" w:themeColor="text1"/>
          <w:sz w:val="24"/>
          <w:szCs w:val="24"/>
          <w:highlight w:val="none"/>
          <w:lang w:eastAsia="zh-CN"/>
          <w14:textFill>
            <w14:solidFill>
              <w14:schemeClr w14:val="tx1"/>
            </w14:solidFill>
          </w14:textFill>
        </w:rPr>
        <w:t>询比</w:t>
      </w:r>
      <w:r>
        <w:rPr>
          <w:rFonts w:hint="eastAsia" w:ascii="仿宋" w:hAnsi="仿宋" w:eastAsia="仿宋" w:cs="仿宋"/>
          <w:color w:val="000000" w:themeColor="text1"/>
          <w:sz w:val="24"/>
          <w:szCs w:val="24"/>
          <w:highlight w:val="none"/>
          <w14:textFill>
            <w14:solidFill>
              <w14:schemeClr w14:val="tx1"/>
            </w14:solidFill>
          </w14:textFill>
        </w:rPr>
        <w:t>保证金形式不符合</w:t>
      </w:r>
      <w:r>
        <w:rPr>
          <w:rFonts w:hint="eastAsia" w:ascii="仿宋" w:hAnsi="仿宋" w:eastAsia="仿宋" w:cs="仿宋"/>
          <w:color w:val="000000" w:themeColor="text1"/>
          <w:sz w:val="24"/>
          <w:szCs w:val="24"/>
          <w:highlight w:val="none"/>
          <w:lang w:eastAsia="zh-CN"/>
          <w14:textFill>
            <w14:solidFill>
              <w14:schemeClr w14:val="tx1"/>
            </w14:solidFill>
          </w14:textFill>
        </w:rPr>
        <w:t>询比</w:t>
      </w:r>
      <w:r>
        <w:rPr>
          <w:rFonts w:hint="eastAsia" w:ascii="仿宋" w:hAnsi="仿宋" w:eastAsia="仿宋" w:cs="仿宋"/>
          <w:color w:val="000000" w:themeColor="text1"/>
          <w:sz w:val="24"/>
          <w:szCs w:val="24"/>
          <w:highlight w:val="none"/>
          <w14:textFill>
            <w14:solidFill>
              <w14:schemeClr w14:val="tx1"/>
            </w14:solidFill>
          </w14:textFill>
        </w:rPr>
        <w:t>文件要求的；</w:t>
      </w:r>
    </w:p>
    <w:p w14:paraId="36EA7890">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CN"/>
          <w14:textFill>
            <w14:solidFill>
              <w14:schemeClr w14:val="tx1"/>
            </w14:solidFill>
          </w14:textFill>
        </w:rPr>
        <w:t>、提交的</w:t>
      </w:r>
      <w:r>
        <w:rPr>
          <w:rFonts w:hint="eastAsia" w:ascii="仿宋" w:hAnsi="仿宋" w:eastAsia="仿宋" w:cs="仿宋"/>
          <w:color w:val="000000" w:themeColor="text1"/>
          <w:sz w:val="24"/>
          <w:szCs w:val="24"/>
          <w:highlight w:val="none"/>
          <w:lang w:eastAsia="zh-CN"/>
          <w14:textFill>
            <w14:solidFill>
              <w14:schemeClr w14:val="tx1"/>
            </w14:solidFill>
          </w14:textFill>
        </w:rPr>
        <w:t>询比响应文件</w:t>
      </w:r>
      <w:r>
        <w:rPr>
          <w:rFonts w:hint="eastAsia" w:ascii="仿宋" w:hAnsi="仿宋" w:eastAsia="仿宋" w:cs="仿宋"/>
          <w:color w:val="000000" w:themeColor="text1"/>
          <w:sz w:val="24"/>
          <w:szCs w:val="24"/>
          <w:highlight w:val="none"/>
          <w:lang w:val="zh-CN"/>
          <w14:textFill>
            <w14:solidFill>
              <w14:schemeClr w14:val="tx1"/>
            </w14:solidFill>
          </w14:textFill>
        </w:rPr>
        <w:t>内容不真实，或出现其他违反国家法律、法规行为的；</w:t>
      </w:r>
    </w:p>
    <w:p w14:paraId="2EC236F2">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CN"/>
          <w14:textFill>
            <w14:solidFill>
              <w14:schemeClr w14:val="tx1"/>
            </w14:solidFill>
          </w14:textFill>
        </w:rPr>
        <w:t>本询比文件规定的其他视为无效的情况。</w:t>
      </w:r>
    </w:p>
    <w:p w14:paraId="6DAED488">
      <w:pPr>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8、出现电子响应文件MAC信息相同的，一律视同串通投标，作无效投标处理</w:t>
      </w:r>
    </w:p>
    <w:p w14:paraId="279B358F">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出现下列情形之一的，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采购活动终止</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5214AD6">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符合询比</w:t>
      </w:r>
      <w:r>
        <w:rPr>
          <w:rFonts w:hint="eastAsia" w:ascii="仿宋" w:hAnsi="仿宋" w:eastAsia="仿宋" w:cs="仿宋"/>
          <w:color w:val="000000" w:themeColor="text1"/>
          <w:sz w:val="24"/>
          <w:szCs w:val="24"/>
          <w:highlight w:val="none"/>
          <w:lang w:val="zh-CN"/>
          <w14:textFill>
            <w14:solidFill>
              <w14:schemeClr w14:val="tx1"/>
            </w14:solidFill>
          </w14:textFill>
        </w:rPr>
        <w:t>文件作</w:t>
      </w:r>
      <w:r>
        <w:rPr>
          <w:rFonts w:hint="eastAsia" w:ascii="仿宋" w:hAnsi="仿宋" w:eastAsia="仿宋" w:cs="仿宋"/>
          <w:color w:val="000000" w:themeColor="text1"/>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z w:val="24"/>
          <w:szCs w:val="24"/>
          <w:highlight w:val="none"/>
          <w:lang w:val="zh-CN"/>
          <w14:textFill>
            <w14:solidFill>
              <w14:schemeClr w14:val="tx1"/>
            </w14:solidFill>
          </w14:textFill>
        </w:rPr>
        <w:t>的供应商不足三家的；</w:t>
      </w:r>
    </w:p>
    <w:p w14:paraId="1C357726">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2、出现影响采购公正的违法、违规行为的；</w:t>
      </w:r>
    </w:p>
    <w:p w14:paraId="20C2C34D">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3、供应商的报价均超过了采购预算，</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lang w:val="zh-CN"/>
          <w14:textFill>
            <w14:solidFill>
              <w14:schemeClr w14:val="tx1"/>
            </w14:solidFill>
          </w14:textFill>
        </w:rPr>
        <w:t>人不能支付的；</w:t>
      </w:r>
    </w:p>
    <w:p w14:paraId="3FDBFDF5">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4、因重大变故，采购任务取消。</w:t>
      </w:r>
    </w:p>
    <w:p w14:paraId="47EC5E11">
      <w:pPr>
        <w:spacing w:line="360" w:lineRule="auto"/>
        <w:ind w:firstLine="480" w:firstLineChars="200"/>
        <w:jc w:val="left"/>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）评分办法和标准</w:t>
      </w:r>
    </w:p>
    <w:p w14:paraId="09930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b/>
          <w:bCs/>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评审小组从质量和服务均能满足</w:t>
      </w:r>
      <w:r>
        <w:rPr>
          <w:rFonts w:hint="eastAsia" w:ascii="仿宋" w:hAnsi="仿宋" w:eastAsia="仿宋" w:cs="仿宋"/>
          <w:color w:val="000000" w:themeColor="text1"/>
          <w:sz w:val="24"/>
          <w:szCs w:val="24"/>
          <w:highlight w:val="none"/>
          <w:lang w:val="en-US" w:eastAsia="zh-CN"/>
          <w14:textFill>
            <w14:solidFill>
              <w14:schemeClr w14:val="tx1"/>
            </w14:solidFill>
          </w14:textFill>
        </w:rPr>
        <w:t>询比</w:t>
      </w:r>
      <w:r>
        <w:rPr>
          <w:rFonts w:hint="eastAsia" w:ascii="仿宋" w:hAnsi="仿宋" w:eastAsia="仿宋" w:cs="仿宋"/>
          <w:color w:val="000000" w:themeColor="text1"/>
          <w:sz w:val="24"/>
          <w:szCs w:val="24"/>
          <w:highlight w:val="none"/>
          <w:lang w:val="zh-CN"/>
          <w14:textFill>
            <w14:solidFill>
              <w14:schemeClr w14:val="tx1"/>
            </w14:solidFill>
          </w14:textFill>
        </w:rPr>
        <w:t>文件实质性响应要求的供应商中，按照最后报价由低到高的顺序向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CN"/>
          <w14:textFill>
            <w14:solidFill>
              <w14:schemeClr w14:val="tx1"/>
            </w14:solidFill>
          </w14:textFill>
        </w:rPr>
        <w:t>推荐</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lang w:val="zh-CN"/>
          <w14:textFill>
            <w14:solidFill>
              <w14:schemeClr w14:val="tx1"/>
            </w14:solidFill>
          </w14:textFill>
        </w:rPr>
        <w:t>候选</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9963FA9">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四、公示与异议</w:t>
      </w:r>
    </w:p>
    <w:p w14:paraId="252285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询比</w:t>
      </w:r>
      <w:r>
        <w:rPr>
          <w:rFonts w:hint="eastAsia" w:ascii="仿宋" w:hAnsi="仿宋" w:eastAsia="仿宋" w:cs="仿宋"/>
          <w:color w:val="000000" w:themeColor="text1"/>
          <w:sz w:val="24"/>
          <w:szCs w:val="24"/>
          <w:lang w:val="zh-CN"/>
          <w14:textFill>
            <w14:solidFill>
              <w14:schemeClr w14:val="tx1"/>
            </w14:solidFill>
          </w14:textFill>
        </w:rPr>
        <w:t>结束后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将在原发布招标公告的网站进行中选候选人公示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公示期为三天。</w:t>
      </w:r>
    </w:p>
    <w:p w14:paraId="65485E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或者其他利害关系人对评标结果有异议的，应当在公示期间以书面形式（法定代表人或授权代理人签字并加盖单位公章）提出。</w:t>
      </w:r>
    </w:p>
    <w:p w14:paraId="56F3354C">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接收部门：江西省机电设备招标有限公司质疑室</w:t>
      </w:r>
    </w:p>
    <w:p w14:paraId="4A332940">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联系电话：0791-86274941</w:t>
      </w:r>
    </w:p>
    <w:p w14:paraId="023CD96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通讯地址：江西省南昌市东湖区省政府大院北二路92号咨询大厦402</w:t>
      </w:r>
    </w:p>
    <w:p w14:paraId="1CEA1C62">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询比响应供应商</w:t>
      </w:r>
      <w:r>
        <w:rPr>
          <w:rFonts w:hint="eastAsia" w:ascii="仿宋" w:hAnsi="仿宋" w:eastAsia="仿宋" w:cs="仿宋"/>
          <w:color w:val="000000" w:themeColor="text1"/>
          <w:sz w:val="24"/>
          <w:szCs w:val="24"/>
          <w:lang w:val="zh-CN"/>
          <w14:textFill>
            <w14:solidFill>
              <w14:schemeClr w14:val="tx1"/>
            </w14:solidFill>
          </w14:textFill>
        </w:rPr>
        <w:t>如对异议答复不满意的，可到相关部门进行投诉。</w:t>
      </w:r>
    </w:p>
    <w:p w14:paraId="1DA499AA">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五、定标</w:t>
      </w:r>
    </w:p>
    <w:p w14:paraId="20D7E5F3">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完成评标后，应向</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提交书面评审报告。评审报告由</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全体成员签字。</w:t>
      </w:r>
    </w:p>
    <w:p w14:paraId="1C863B20">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按</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推荐的排序确定</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w:t>
      </w:r>
    </w:p>
    <w:p w14:paraId="4573B3BE">
      <w:pPr>
        <w:widowControl/>
        <w:spacing w:line="640" w:lineRule="exact"/>
        <w:ind w:firstLine="422" w:firstLineChars="150"/>
        <w:jc w:val="left"/>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六、</w:t>
      </w:r>
      <w:r>
        <w:rPr>
          <w:rFonts w:hint="eastAsia" w:ascii="仿宋" w:hAnsi="仿宋" w:eastAsia="仿宋"/>
          <w:b/>
          <w:bCs/>
          <w:color w:val="000000" w:themeColor="text1"/>
          <w:sz w:val="28"/>
          <w:szCs w:val="28"/>
          <w:lang w:eastAsia="zh-CN"/>
          <w14:textFill>
            <w14:solidFill>
              <w14:schemeClr w14:val="tx1"/>
            </w14:solidFill>
          </w14:textFill>
        </w:rPr>
        <w:t>成交通知书</w:t>
      </w:r>
    </w:p>
    <w:p w14:paraId="240E9115">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确定后，代理机构向</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发出</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在接到</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后三十天内与</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签订合同。</w:t>
      </w:r>
    </w:p>
    <w:p w14:paraId="25089C90">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是合同的组成部分。</w:t>
      </w:r>
    </w:p>
    <w:p w14:paraId="00E75BCE">
      <w:pPr>
        <w:widowControl/>
        <w:spacing w:line="640" w:lineRule="exact"/>
        <w:ind w:firstLine="422" w:firstLineChars="15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七、签订合同</w:t>
      </w:r>
    </w:p>
    <w:p w14:paraId="7DE4714E">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未如期与</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签订合同，代理机构将不退还</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的</w:t>
      </w:r>
      <w:r>
        <w:rPr>
          <w:rFonts w:hint="eastAsia" w:ascii="仿宋" w:hAnsi="仿宋" w:eastAsia="仿宋" w:cs="Times New Roman"/>
          <w:color w:val="000000" w:themeColor="text1"/>
          <w:sz w:val="24"/>
          <w:szCs w:val="24"/>
          <w:lang w:eastAsia="zh-CN"/>
          <w14:textFill>
            <w14:solidFill>
              <w14:schemeClr w14:val="tx1"/>
            </w14:solidFill>
          </w14:textFill>
        </w:rPr>
        <w:t>询比</w:t>
      </w:r>
      <w:r>
        <w:rPr>
          <w:rFonts w:hint="eastAsia" w:ascii="仿宋" w:hAnsi="仿宋" w:eastAsia="仿宋" w:cs="Times New Roman"/>
          <w:color w:val="000000" w:themeColor="text1"/>
          <w:sz w:val="24"/>
          <w:szCs w:val="24"/>
          <w14:textFill>
            <w14:solidFill>
              <w14:schemeClr w14:val="tx1"/>
            </w14:solidFill>
          </w14:textFill>
        </w:rPr>
        <w:t>保证金，并取消其</w:t>
      </w:r>
      <w:r>
        <w:rPr>
          <w:rFonts w:hint="eastAsia" w:ascii="仿宋" w:hAnsi="仿宋" w:eastAsia="仿宋" w:cs="Times New Roman"/>
          <w:color w:val="000000" w:themeColor="text1"/>
          <w:sz w:val="24"/>
          <w:szCs w:val="24"/>
          <w:lang w:val="en-US" w:eastAsia="zh-CN"/>
          <w14:textFill>
            <w14:solidFill>
              <w14:schemeClr w14:val="tx1"/>
            </w14:solidFill>
          </w14:textFill>
        </w:rPr>
        <w:t>成交候选</w:t>
      </w:r>
      <w:r>
        <w:rPr>
          <w:rFonts w:hint="eastAsia" w:ascii="仿宋" w:hAnsi="仿宋" w:eastAsia="仿宋" w:cs="Times New Roman"/>
          <w:color w:val="000000" w:themeColor="text1"/>
          <w:sz w:val="24"/>
          <w:szCs w:val="24"/>
          <w14:textFill>
            <w14:solidFill>
              <w14:schemeClr w14:val="tx1"/>
            </w14:solidFill>
          </w14:textFill>
        </w:rPr>
        <w:t>供应商资格。</w:t>
      </w:r>
    </w:p>
    <w:p w14:paraId="0EC606EE">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询比</w:t>
      </w:r>
      <w:r>
        <w:rPr>
          <w:rFonts w:hint="eastAsia" w:ascii="仿宋" w:hAnsi="仿宋" w:eastAsia="仿宋" w:cs="Times New Roman"/>
          <w:color w:val="000000" w:themeColor="text1"/>
          <w:sz w:val="24"/>
          <w:szCs w:val="24"/>
          <w14:textFill>
            <w14:solidFill>
              <w14:schemeClr w14:val="tx1"/>
            </w14:solidFill>
          </w14:textFill>
        </w:rPr>
        <w:t>文件、</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的</w:t>
      </w:r>
      <w:r>
        <w:rPr>
          <w:rFonts w:hint="eastAsia" w:ascii="仿宋" w:hAnsi="仿宋" w:eastAsia="仿宋" w:cs="Times New Roman"/>
          <w:color w:val="000000" w:themeColor="text1"/>
          <w:sz w:val="24"/>
          <w:szCs w:val="24"/>
          <w:lang w:eastAsia="zh-CN"/>
          <w14:textFill>
            <w14:solidFill>
              <w14:schemeClr w14:val="tx1"/>
            </w14:solidFill>
          </w14:textFill>
        </w:rPr>
        <w:t>询比响应文件</w:t>
      </w:r>
      <w:r>
        <w:rPr>
          <w:rFonts w:hint="eastAsia" w:ascii="仿宋" w:hAnsi="仿宋" w:eastAsia="仿宋" w:cs="Times New Roman"/>
          <w:color w:val="000000" w:themeColor="text1"/>
          <w:sz w:val="24"/>
          <w:szCs w:val="24"/>
          <w14:textFill>
            <w14:solidFill>
              <w14:schemeClr w14:val="tx1"/>
            </w14:solidFill>
          </w14:textFill>
        </w:rPr>
        <w:t>及评标过程中有关澄清文件均应作为合同附件。</w:t>
      </w:r>
    </w:p>
    <w:p w14:paraId="596F1128">
      <w:pPr>
        <w:widowControl/>
        <w:spacing w:line="360" w:lineRule="auto"/>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w:t>
      </w:r>
      <w:r>
        <w:rPr>
          <w:rFonts w:hint="eastAsia" w:ascii="仿宋" w:hAnsi="仿宋" w:eastAsia="仿宋"/>
          <w:b/>
          <w:bCs/>
          <w:color w:val="000000" w:themeColor="text1"/>
          <w:sz w:val="28"/>
          <w:szCs w:val="28"/>
          <w:lang w:val="en-US" w:eastAsia="zh-CN"/>
          <w14:textFill>
            <w14:solidFill>
              <w14:schemeClr w14:val="tx1"/>
            </w14:solidFill>
          </w14:textFill>
        </w:rPr>
        <w:t>代理</w:t>
      </w:r>
      <w:r>
        <w:rPr>
          <w:rFonts w:hint="eastAsia" w:ascii="仿宋" w:hAnsi="仿宋" w:eastAsia="仿宋"/>
          <w:b/>
          <w:bCs/>
          <w:color w:val="000000" w:themeColor="text1"/>
          <w:sz w:val="28"/>
          <w:szCs w:val="28"/>
          <w14:textFill>
            <w14:solidFill>
              <w14:schemeClr w14:val="tx1"/>
            </w14:solidFill>
          </w14:textFill>
        </w:rPr>
        <w:t>服务费</w:t>
      </w:r>
    </w:p>
    <w:p w14:paraId="64C1D488">
      <w:pPr>
        <w:pStyle w:val="15"/>
        <w:spacing w:after="0" w:line="360" w:lineRule="auto"/>
        <w:ind w:firstLine="480" w:firstLineChars="200"/>
        <w:rPr>
          <w:rFonts w:ascii="仿宋" w:hAnsi="仿宋" w:eastAsia="仿宋" w:cs="Times New Roman"/>
          <w:color w:val="000000" w:themeColor="text1"/>
          <w:sz w:val="24"/>
          <w:szCs w:val="24"/>
          <w:lang w:val="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发出</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时，成交供应商按固定价收费5250元向招标代理机构支付</w:t>
      </w:r>
      <w:r>
        <w:rPr>
          <w:rFonts w:hint="eastAsia" w:ascii="仿宋" w:hAnsi="仿宋" w:eastAsia="仿宋" w:cs="Times New Roman"/>
          <w:color w:val="000000" w:themeColor="text1"/>
          <w:sz w:val="24"/>
          <w:szCs w:val="24"/>
          <w:lang w:val="en-US" w:eastAsia="zh-CN"/>
          <w14:textFill>
            <w14:solidFill>
              <w14:schemeClr w14:val="tx1"/>
            </w14:solidFill>
          </w14:textFill>
        </w:rPr>
        <w:t>代理</w:t>
      </w:r>
      <w:r>
        <w:rPr>
          <w:rFonts w:hint="eastAsia" w:ascii="仿宋" w:hAnsi="仿宋" w:eastAsia="仿宋" w:cs="Times New Roman"/>
          <w:color w:val="000000" w:themeColor="text1"/>
          <w:sz w:val="24"/>
          <w:szCs w:val="24"/>
          <w14:textFill>
            <w14:solidFill>
              <w14:schemeClr w14:val="tx1"/>
            </w14:solidFill>
          </w14:textFill>
        </w:rPr>
        <w:t>服务费。</w:t>
      </w:r>
    </w:p>
    <w:p w14:paraId="4A1A0A9B">
      <w:pPr>
        <w:rPr>
          <w:rFonts w:ascii="仿宋" w:hAnsi="仿宋"/>
          <w:color w:val="000000" w:themeColor="text1"/>
          <w14:textFill>
            <w14:solidFill>
              <w14:schemeClr w14:val="tx1"/>
            </w14:solidFill>
          </w14:textFill>
        </w:rPr>
      </w:pPr>
      <w:bookmarkStart w:id="23" w:name="_Toc205712867"/>
      <w:bookmarkStart w:id="24" w:name="_Toc181008482"/>
      <w:bookmarkStart w:id="25" w:name="_Toc181763629"/>
      <w:r>
        <w:rPr>
          <w:rFonts w:hint="eastAsia" w:ascii="仿宋" w:hAnsi="仿宋"/>
          <w:color w:val="000000" w:themeColor="text1"/>
          <w14:textFill>
            <w14:solidFill>
              <w14:schemeClr w14:val="tx1"/>
            </w14:solidFill>
          </w14:textFill>
        </w:rPr>
        <w:br w:type="page"/>
      </w:r>
    </w:p>
    <w:bookmarkEnd w:id="23"/>
    <w:bookmarkEnd w:id="24"/>
    <w:bookmarkEnd w:id="25"/>
    <w:p w14:paraId="78A3580F">
      <w:pPr>
        <w:pStyle w:val="3"/>
        <w:jc w:val="center"/>
        <w:rPr>
          <w:rFonts w:ascii="宋体" w:hAnsi="宋体" w:eastAsia="宋体" w:cs="宋体"/>
          <w:color w:val="000000" w:themeColor="text1"/>
          <w:sz w:val="44"/>
          <w:szCs w:val="44"/>
          <w14:textFill>
            <w14:solidFill>
              <w14:schemeClr w14:val="tx1"/>
            </w14:solidFill>
          </w14:textFill>
        </w:rPr>
      </w:pPr>
      <w:bookmarkStart w:id="26" w:name="_Toc9632"/>
      <w:r>
        <w:rPr>
          <w:rFonts w:hint="eastAsia" w:ascii="仿宋" w:hAnsi="仿宋"/>
          <w:color w:val="000000" w:themeColor="text1"/>
          <w:sz w:val="44"/>
          <w:szCs w:val="44"/>
          <w14:textFill>
            <w14:solidFill>
              <w14:schemeClr w14:val="tx1"/>
            </w14:solidFill>
          </w14:textFill>
        </w:rPr>
        <w:t>合同条款</w:t>
      </w:r>
      <w:bookmarkEnd w:id="26"/>
    </w:p>
    <w:p w14:paraId="038A9285">
      <w:pPr>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lang w:val="en-US" w:eastAsia="zh-CN"/>
          <w14:textFill>
            <w14:solidFill>
              <w14:schemeClr w14:val="tx1"/>
            </w14:solidFill>
          </w14:textFill>
        </w:rPr>
        <w:t>仅供参考</w:t>
      </w:r>
      <w:r>
        <w:rPr>
          <w:rFonts w:hint="eastAsia" w:ascii="宋体" w:hAnsi="宋体"/>
          <w:b/>
          <w:color w:val="000000" w:themeColor="text1"/>
          <w:sz w:val="32"/>
          <w:szCs w:val="32"/>
          <w:lang w:eastAsia="zh-CN"/>
          <w14:textFill>
            <w14:solidFill>
              <w14:schemeClr w14:val="tx1"/>
            </w14:solidFill>
          </w14:textFill>
        </w:rPr>
        <w:t>）</w:t>
      </w:r>
    </w:p>
    <w:p w14:paraId="4FF744DD">
      <w:pPr>
        <w:pStyle w:val="15"/>
        <w:rPr>
          <w:color w:val="000000" w:themeColor="text1"/>
          <w14:textFill>
            <w14:solidFill>
              <w14:schemeClr w14:val="tx1"/>
            </w14:solidFill>
          </w14:textFill>
        </w:rPr>
      </w:pPr>
    </w:p>
    <w:p w14:paraId="1D5A10B5">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甲方（采购单位）：________</w:t>
      </w:r>
    </w:p>
    <w:p w14:paraId="43325B2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乙方（服务单位）：________</w:t>
      </w:r>
    </w:p>
    <w:p w14:paraId="0F4754E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签订时间：________年____月____日</w:t>
      </w:r>
    </w:p>
    <w:p w14:paraId="29B04D4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签订地点：</w:t>
      </w:r>
    </w:p>
    <w:p w14:paraId="2508CB2D">
      <w:pPr>
        <w:bidi w:val="0"/>
        <w:rPr>
          <w:rFonts w:hint="eastAsia" w:ascii="仿宋" w:hAnsi="仿宋" w:eastAsia="仿宋" w:cs="仿宋"/>
          <w:color w:val="000000" w:themeColor="text1"/>
          <w:sz w:val="24"/>
          <w:szCs w:val="24"/>
          <w:highlight w:val="none"/>
          <w14:textFill>
            <w14:solidFill>
              <w14:schemeClr w14:val="tx1"/>
            </w14:solidFill>
          </w14:textFill>
        </w:rPr>
      </w:pPr>
    </w:p>
    <w:p w14:paraId="7497A2D6">
      <w:pPr>
        <w:spacing w:line="500" w:lineRule="atLeas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中华人民共和国民法典》及________年____月____日（招标代理机构名称）关于________项目的招标结果和招标文件（招标编号：________）的要求，经双方协商一致，签订本合同。详细价格、服务和技术说明、及其他有关合同标的的特定信息由合同附件予以说明，所有附件及本项目的招投标文件、会议纪要、协议等均为本合同不可分割之一部分。</w:t>
      </w:r>
      <w:bookmarkStart w:id="27" w:name="_Toc286758345"/>
    </w:p>
    <w:p w14:paraId="1AEFD691">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1.定义</w:t>
      </w:r>
      <w:bookmarkEnd w:id="27"/>
    </w:p>
    <w:p w14:paraId="0546B42F">
      <w:pPr>
        <w:spacing w:line="500" w:lineRule="atLeast"/>
        <w:ind w:left="420" w:leftChars="20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本合同下列</w:t>
      </w:r>
      <w:r>
        <w:rPr>
          <w:rFonts w:hint="eastAsia" w:ascii="仿宋" w:hAnsi="仿宋" w:eastAsia="仿宋" w:cs="仿宋"/>
          <w:bCs/>
          <w:color w:val="000000" w:themeColor="text1"/>
          <w:sz w:val="24"/>
          <w:szCs w:val="24"/>
          <w:highlight w:val="none"/>
          <w14:textFill>
            <w14:solidFill>
              <w14:schemeClr w14:val="tx1"/>
            </w14:solidFill>
          </w14:textFill>
        </w:rPr>
        <w:t>术语</w:t>
      </w:r>
      <w:r>
        <w:rPr>
          <w:rFonts w:hint="eastAsia" w:ascii="仿宋" w:hAnsi="仿宋" w:eastAsia="仿宋" w:cs="仿宋"/>
          <w:color w:val="000000" w:themeColor="text1"/>
          <w:sz w:val="24"/>
          <w:szCs w:val="24"/>
          <w:highlight w:val="none"/>
          <w14:textFill>
            <w14:solidFill>
              <w14:schemeClr w14:val="tx1"/>
            </w14:solidFill>
          </w14:textFill>
        </w:rPr>
        <w:t>应解释为：</w:t>
      </w:r>
    </w:p>
    <w:p w14:paraId="2EF6BD4E">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w:t>
      </w:r>
      <w:r>
        <w:rPr>
          <w:rFonts w:hint="eastAsia" w:ascii="仿宋" w:hAnsi="仿宋" w:eastAsia="仿宋" w:cs="仿宋"/>
          <w:bCs/>
          <w:color w:val="000000" w:themeColor="text1"/>
          <w:sz w:val="24"/>
          <w:szCs w:val="24"/>
          <w:highlight w:val="none"/>
          <w14:textFill>
            <w14:solidFill>
              <w14:schemeClr w14:val="tx1"/>
            </w14:solidFill>
          </w14:textFill>
        </w:rPr>
        <w:t>是指买卖双方签署的、合同格式中载明的买卖双方所达成的协议，包括所有的附件、附录和构成合同的其它文件。</w:t>
      </w:r>
    </w:p>
    <w:p w14:paraId="5117FD3F">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（2）“合同价”是指根据本合同规定供方在正确地完全履行合同义务后买方应支付给供方的价款。</w:t>
      </w:r>
    </w:p>
    <w:p w14:paraId="180FB3F4">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（3）“买方”是指购买相关服务的采购人。</w:t>
      </w:r>
    </w:p>
    <w:p w14:paraId="3071ECDE">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（4）“供方”是指根据合同规定提供相关服务的中标人。</w:t>
      </w:r>
    </w:p>
    <w:p w14:paraId="5403EF50">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（5）“现场”系指合同项下服务提供地点。</w:t>
      </w:r>
    </w:p>
    <w:p w14:paraId="3D79883E">
      <w:pPr>
        <w:spacing w:line="500" w:lineRule="atLeast"/>
        <w:ind w:left="690" w:leftChars="10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（6）“验收”系指</w:t>
      </w:r>
      <w:r>
        <w:rPr>
          <w:rFonts w:hint="eastAsia" w:ascii="仿宋" w:hAnsi="仿宋" w:eastAsia="仿宋" w:cs="仿宋"/>
          <w:color w:val="000000" w:themeColor="text1"/>
          <w:sz w:val="24"/>
          <w:szCs w:val="24"/>
          <w:highlight w:val="none"/>
          <w14:textFill>
            <w14:solidFill>
              <w14:schemeClr w14:val="tx1"/>
            </w14:solidFill>
          </w14:textFill>
        </w:rPr>
        <w:t>合同双方依据规定的程序和条件确认合同项下的服务符合规范要求的活动。</w:t>
      </w:r>
    </w:p>
    <w:p w14:paraId="2C2F9E3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28" w:name="_Toc286758346"/>
      <w:r>
        <w:rPr>
          <w:rFonts w:hint="eastAsia" w:ascii="仿宋" w:hAnsi="仿宋" w:eastAsia="仿宋" w:cs="仿宋"/>
          <w:b/>
          <w:bCs/>
          <w:color w:val="000000" w:themeColor="text1"/>
          <w:sz w:val="24"/>
          <w:szCs w:val="24"/>
          <w:highlight w:val="none"/>
          <w14:textFill>
            <w14:solidFill>
              <w14:schemeClr w14:val="tx1"/>
            </w14:solidFill>
          </w14:textFill>
        </w:rPr>
        <w:t>2.规范</w:t>
      </w:r>
      <w:bookmarkEnd w:id="28"/>
      <w:r>
        <w:rPr>
          <w:rFonts w:hint="eastAsia" w:ascii="仿宋" w:hAnsi="仿宋" w:eastAsia="仿宋" w:cs="仿宋"/>
          <w:b/>
          <w:bCs/>
          <w:color w:val="000000" w:themeColor="text1"/>
          <w:sz w:val="24"/>
          <w:szCs w:val="24"/>
          <w:highlight w:val="none"/>
          <w14:textFill>
            <w14:solidFill>
              <w14:schemeClr w14:val="tx1"/>
            </w14:solidFill>
          </w14:textFill>
        </w:rPr>
        <w:t>要求</w:t>
      </w:r>
    </w:p>
    <w:p w14:paraId="4535187B">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2.1提供相关服务的规范应与招标文件规定的规范和规范附件（如果有的话）及其投标文件的服务需求偏离表（如果被买方接受的话）相一致。</w:t>
      </w:r>
    </w:p>
    <w:p w14:paraId="301AAF91">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2.2若规范要求中无相应说明，则以国家有关部门最新颁布的相应标准及规范为准。</w:t>
      </w:r>
    </w:p>
    <w:p w14:paraId="04594A2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29" w:name="_Toc286758347"/>
      <w:r>
        <w:rPr>
          <w:rFonts w:hint="eastAsia" w:ascii="仿宋" w:hAnsi="仿宋" w:eastAsia="仿宋" w:cs="仿宋"/>
          <w:b/>
          <w:bCs/>
          <w:color w:val="000000" w:themeColor="text1"/>
          <w:sz w:val="24"/>
          <w:szCs w:val="24"/>
          <w:highlight w:val="none"/>
          <w14:textFill>
            <w14:solidFill>
              <w14:schemeClr w14:val="tx1"/>
            </w14:solidFill>
          </w14:textFill>
        </w:rPr>
        <w:t>3.专利权</w:t>
      </w:r>
      <w:bookmarkEnd w:id="29"/>
    </w:p>
    <w:p w14:paraId="4A1AC0D2">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3.1供方应保护买方在使用供方提供的服务时不受第三方提出侵犯专利权、商标权、著作权或其它知识产权起诉的指控。如果任何第三方提出侵权指控，供方须与第三方交涉并承担可能发生的一切法律责任和费用。</w:t>
      </w:r>
    </w:p>
    <w:p w14:paraId="50BA7A30">
      <w:pPr>
        <w:spacing w:line="500" w:lineRule="atLeast"/>
        <w:ind w:left="425" w:hanging="425"/>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4.服务期限和服务地点</w:t>
      </w:r>
    </w:p>
    <w:p w14:paraId="786853EB">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4.1服务期限和服务地点详见采购需求表。</w:t>
      </w:r>
    </w:p>
    <w:p w14:paraId="66146EC0">
      <w:pPr>
        <w:spacing w:line="500" w:lineRule="atLeast"/>
        <w:rPr>
          <w:rFonts w:hint="eastAsia" w:ascii="仿宋" w:hAnsi="仿宋" w:eastAsia="仿宋" w:cs="仿宋"/>
          <w:b/>
          <w:color w:val="000000" w:themeColor="text1"/>
          <w:sz w:val="24"/>
          <w:szCs w:val="24"/>
          <w:highlight w:val="none"/>
          <w14:textFill>
            <w14:solidFill>
              <w14:schemeClr w14:val="tx1"/>
            </w14:solidFill>
          </w14:textFill>
        </w:rPr>
      </w:pPr>
      <w:bookmarkStart w:id="30" w:name="_Toc286758353"/>
      <w:r>
        <w:rPr>
          <w:rFonts w:hint="eastAsia" w:ascii="仿宋" w:hAnsi="仿宋" w:eastAsia="仿宋" w:cs="仿宋"/>
          <w:b/>
          <w:color w:val="000000" w:themeColor="text1"/>
          <w:sz w:val="24"/>
          <w:szCs w:val="24"/>
          <w:highlight w:val="none"/>
          <w14:textFill>
            <w14:solidFill>
              <w14:schemeClr w14:val="tx1"/>
            </w14:solidFill>
          </w14:textFill>
        </w:rPr>
        <w:t>5.付款方式</w:t>
      </w:r>
      <w:bookmarkEnd w:id="30"/>
    </w:p>
    <w:p w14:paraId="76D675FC">
      <w:pPr>
        <w:spacing w:line="500" w:lineRule="atLeast"/>
        <w:ind w:left="360" w:hanging="360" w:hanging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5.1付款方式按招标文件第五章中“商务条款”中的规定。</w:t>
      </w:r>
    </w:p>
    <w:p w14:paraId="51901147">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1" w:name="_Toc286758354"/>
      <w:r>
        <w:rPr>
          <w:rFonts w:hint="eastAsia" w:ascii="仿宋" w:hAnsi="仿宋" w:eastAsia="仿宋" w:cs="仿宋"/>
          <w:b/>
          <w:bCs/>
          <w:color w:val="000000" w:themeColor="text1"/>
          <w:sz w:val="24"/>
          <w:szCs w:val="24"/>
          <w:highlight w:val="none"/>
          <w14:textFill>
            <w14:solidFill>
              <w14:schemeClr w14:val="tx1"/>
            </w14:solidFill>
          </w14:textFill>
        </w:rPr>
        <w:t>6.相关资料</w:t>
      </w:r>
      <w:bookmarkEnd w:id="31"/>
    </w:p>
    <w:p w14:paraId="56146B2E">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6.1合同项下提供服务的相关技术资料按采购人要求提供。</w:t>
      </w:r>
    </w:p>
    <w:p w14:paraId="64AA798A">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2" w:name="_Toc286758355"/>
      <w:r>
        <w:rPr>
          <w:rFonts w:hint="eastAsia" w:ascii="仿宋" w:hAnsi="仿宋" w:eastAsia="仿宋" w:cs="仿宋"/>
          <w:b/>
          <w:bCs/>
          <w:color w:val="000000" w:themeColor="text1"/>
          <w:sz w:val="24"/>
          <w:szCs w:val="24"/>
          <w:highlight w:val="none"/>
          <w14:textFill>
            <w14:solidFill>
              <w14:schemeClr w14:val="tx1"/>
            </w14:solidFill>
          </w14:textFill>
        </w:rPr>
        <w:t>7.质量保证</w:t>
      </w:r>
      <w:bookmarkEnd w:id="32"/>
      <w:r>
        <w:rPr>
          <w:rFonts w:hint="eastAsia" w:ascii="仿宋" w:hAnsi="仿宋" w:eastAsia="仿宋" w:cs="仿宋"/>
          <w:b/>
          <w:bCs/>
          <w:color w:val="000000" w:themeColor="text1"/>
          <w:sz w:val="24"/>
          <w:szCs w:val="24"/>
          <w:highlight w:val="none"/>
          <w14:textFill>
            <w14:solidFill>
              <w14:schemeClr w14:val="tx1"/>
            </w14:solidFill>
          </w14:textFill>
        </w:rPr>
        <w:t>期</w:t>
      </w:r>
    </w:p>
    <w:p w14:paraId="352A2C8B">
      <w:pPr>
        <w:spacing w:line="500" w:lineRule="atLeast"/>
        <w:ind w:left="624" w:hanging="62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7.1服务成果的质量保证期</w:t>
      </w:r>
      <w:bookmarkStart w:id="33" w:name="_Toc286758358"/>
      <w:r>
        <w:rPr>
          <w:rFonts w:hint="eastAsia" w:ascii="仿宋" w:hAnsi="仿宋" w:eastAsia="仿宋" w:cs="仿宋"/>
          <w:color w:val="000000" w:themeColor="text1"/>
          <w:sz w:val="24"/>
          <w:szCs w:val="24"/>
          <w:highlight w:val="none"/>
          <w14:textFill>
            <w14:solidFill>
              <w14:schemeClr w14:val="tx1"/>
            </w14:solidFill>
          </w14:textFill>
        </w:rPr>
        <w:t>按招标文件第五章中“商务条款”中的规定。如投标人承诺的</w:t>
      </w:r>
    </w:p>
    <w:p w14:paraId="2F1291EB">
      <w:pPr>
        <w:spacing w:line="500" w:lineRule="atLeast"/>
        <w:ind w:left="623" w:leftChars="171" w:hanging="264" w:hangingChars="1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质保期优于招标文件规定的，按优于的执行。</w:t>
      </w:r>
    </w:p>
    <w:p w14:paraId="58005284">
      <w:pPr>
        <w:spacing w:line="500" w:lineRule="atLeast"/>
        <w:ind w:left="624" w:hanging="62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8.延期</w:t>
      </w:r>
      <w:bookmarkEnd w:id="33"/>
      <w:r>
        <w:rPr>
          <w:rFonts w:hint="eastAsia" w:ascii="仿宋" w:hAnsi="仿宋" w:eastAsia="仿宋" w:cs="仿宋"/>
          <w:b/>
          <w:bCs/>
          <w:color w:val="000000" w:themeColor="text1"/>
          <w:sz w:val="24"/>
          <w:szCs w:val="24"/>
          <w:highlight w:val="none"/>
          <w14:textFill>
            <w14:solidFill>
              <w14:schemeClr w14:val="tx1"/>
            </w14:solidFill>
          </w14:textFill>
        </w:rPr>
        <w:t>提供服务</w:t>
      </w:r>
    </w:p>
    <w:p w14:paraId="7B8CFCD0">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8.1供方应按照“采购需求表”中买方规定的时间表提供服务。</w:t>
      </w:r>
    </w:p>
    <w:p w14:paraId="588A8657">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在履行合同过程中，如果供方遇到不能按时提供服务的情况，应及时以书面形式将不能按时提供服务的理由、延误时间通知买方。买方在收到供方通知后，应进行分析，如果同意，可通过修改合同，酌情延长时间。</w:t>
      </w:r>
    </w:p>
    <w:p w14:paraId="1520E32F">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8.3如果供方毫无理由地拖延提供服务，将受到以下制裁：没收履约保证金，加收违约损失赔偿和/或终止合同。</w:t>
      </w:r>
    </w:p>
    <w:p w14:paraId="4488C00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4" w:name="_Toc286758359"/>
      <w:r>
        <w:rPr>
          <w:rFonts w:hint="eastAsia" w:ascii="仿宋" w:hAnsi="仿宋" w:eastAsia="仿宋" w:cs="仿宋"/>
          <w:b/>
          <w:bCs/>
          <w:color w:val="000000" w:themeColor="text1"/>
          <w:sz w:val="24"/>
          <w:szCs w:val="24"/>
          <w:highlight w:val="none"/>
          <w14:textFill>
            <w14:solidFill>
              <w14:schemeClr w14:val="tx1"/>
            </w14:solidFill>
          </w14:textFill>
        </w:rPr>
        <w:t>9.违约赔偿</w:t>
      </w:r>
      <w:bookmarkEnd w:id="34"/>
    </w:p>
    <w:p w14:paraId="66A93C9F">
      <w:pPr>
        <w:spacing w:line="500" w:lineRule="atLeast"/>
        <w:ind w:left="510" w:hanging="5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除合同第10条规定外，如果供方没有按照合同规定的时间提供服务，买方可从合同款中扣除违约赔偿费，赔偿费应按每延迟一周，按合同总价的1%计收。但违约赔偿费的最高限额为合同总价的10%。一周按7天计算，不足7天按一周计算。如果供方在达到最高限额后仍不能履行提供服务的义务，买方可考虑终止合同。</w:t>
      </w:r>
    </w:p>
    <w:p w14:paraId="15CB61D8">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5" w:name="_Toc286758360"/>
      <w:r>
        <w:rPr>
          <w:rFonts w:hint="eastAsia" w:ascii="仿宋" w:hAnsi="仿宋" w:eastAsia="仿宋" w:cs="仿宋"/>
          <w:b/>
          <w:bCs/>
          <w:color w:val="000000" w:themeColor="text1"/>
          <w:sz w:val="24"/>
          <w:szCs w:val="24"/>
          <w:highlight w:val="none"/>
          <w14:textFill>
            <w14:solidFill>
              <w14:schemeClr w14:val="tx1"/>
            </w14:solidFill>
          </w14:textFill>
        </w:rPr>
        <w:t>10.不可抗力</w:t>
      </w:r>
      <w:bookmarkEnd w:id="35"/>
    </w:p>
    <w:p w14:paraId="1474282C">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10.1如果双方中任何一方由于战争、严重火灾、水灾、台风和地震以及其它经双方同意属于不可抗力的事故，致使合同履行受阻时，履行合同的期限应予延长，延长的期限应相当于事故所影响的时间。</w:t>
      </w:r>
    </w:p>
    <w:p w14:paraId="0DF827B4">
      <w:pPr>
        <w:spacing w:line="500" w:lineRule="atLeast"/>
        <w:ind w:left="540" w:hanging="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受事故影响的一方应在不可抗力的事故发生后尽快以书面形式通知另一方，并在事故发生后14天内，将有关部门出具的有效证明文件寄给或送给另一方。如果不可抗力影响时间持延续120天以上，双方应通过友好协商在合理的时间内达成进一步履行合同的协议。</w:t>
      </w:r>
    </w:p>
    <w:p w14:paraId="3E16FA1B">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6" w:name="_Toc286758361"/>
      <w:r>
        <w:rPr>
          <w:rFonts w:hint="eastAsia" w:ascii="仿宋" w:hAnsi="仿宋" w:eastAsia="仿宋" w:cs="仿宋"/>
          <w:b/>
          <w:bCs/>
          <w:color w:val="000000" w:themeColor="text1"/>
          <w:sz w:val="24"/>
          <w:szCs w:val="24"/>
          <w:highlight w:val="none"/>
          <w14:textFill>
            <w14:solidFill>
              <w14:schemeClr w14:val="tx1"/>
            </w14:solidFill>
          </w14:textFill>
        </w:rPr>
        <w:t>11.税费</w:t>
      </w:r>
      <w:bookmarkEnd w:id="36"/>
    </w:p>
    <w:p w14:paraId="252C3D9E">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11.1根据国家现行税法对买方征收的与本合同有关的一切税费均由买方负担。</w:t>
      </w:r>
    </w:p>
    <w:p w14:paraId="05B06E7F">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11.2根据国家现行税法对供方征收的与本合同有关的一切税费均由供方负担。</w:t>
      </w:r>
    </w:p>
    <w:p w14:paraId="04CE35D6">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11.3在中国境外发生的与本合同执行有关的一切税费均由供方负担。</w:t>
      </w:r>
    </w:p>
    <w:p w14:paraId="62C1DE0E">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7" w:name="_Toc286758363"/>
      <w:r>
        <w:rPr>
          <w:rFonts w:hint="eastAsia" w:ascii="仿宋" w:hAnsi="仿宋" w:eastAsia="仿宋" w:cs="仿宋"/>
          <w:b/>
          <w:bCs/>
          <w:color w:val="000000" w:themeColor="text1"/>
          <w:sz w:val="24"/>
          <w:szCs w:val="24"/>
          <w:highlight w:val="none"/>
          <w14:textFill>
            <w14:solidFill>
              <w14:schemeClr w14:val="tx1"/>
            </w14:solidFill>
          </w14:textFill>
        </w:rPr>
        <w:t>12.</w:t>
      </w:r>
      <w:bookmarkEnd w:id="37"/>
      <w:r>
        <w:rPr>
          <w:rFonts w:hint="eastAsia" w:ascii="仿宋" w:hAnsi="仿宋" w:eastAsia="仿宋" w:cs="仿宋"/>
          <w:b/>
          <w:bCs/>
          <w:color w:val="000000" w:themeColor="text1"/>
          <w:sz w:val="24"/>
          <w:szCs w:val="24"/>
          <w:highlight w:val="none"/>
          <w14:textFill>
            <w14:solidFill>
              <w14:schemeClr w14:val="tx1"/>
            </w14:solidFill>
          </w14:textFill>
        </w:rPr>
        <w:t>诉讼</w:t>
      </w:r>
    </w:p>
    <w:p w14:paraId="7174E3E2">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12.1买卖双方应通过友好协商，解决在执行本合同中所发生的或与本合同有关的一切争端，如果协商仍得不到解决，任何一方均可按《中华人民共和国民法典》规定提交甲方所在地人民法院诉讼解决。</w:t>
      </w:r>
    </w:p>
    <w:p w14:paraId="24A995E9">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8" w:name="_Toc286758364"/>
      <w:r>
        <w:rPr>
          <w:rFonts w:hint="eastAsia" w:ascii="仿宋" w:hAnsi="仿宋" w:eastAsia="仿宋" w:cs="仿宋"/>
          <w:b/>
          <w:bCs/>
          <w:color w:val="000000" w:themeColor="text1"/>
          <w:sz w:val="24"/>
          <w:szCs w:val="24"/>
          <w:highlight w:val="none"/>
          <w14:textFill>
            <w14:solidFill>
              <w14:schemeClr w14:val="tx1"/>
            </w14:solidFill>
          </w14:textFill>
        </w:rPr>
        <w:t>13.违约终止合同</w:t>
      </w:r>
      <w:bookmarkEnd w:id="38"/>
    </w:p>
    <w:p w14:paraId="377FC036">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13.1买方在供方违约的情况下，如果：</w:t>
      </w:r>
    </w:p>
    <w:p w14:paraId="341BA749">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（1）供方未能</w:t>
      </w:r>
      <w:r>
        <w:rPr>
          <w:rFonts w:hint="eastAsia" w:ascii="仿宋" w:hAnsi="仿宋" w:eastAsia="仿宋" w:cs="仿宋"/>
          <w:bCs/>
          <w:color w:val="000000" w:themeColor="text1"/>
          <w:sz w:val="24"/>
          <w:szCs w:val="24"/>
          <w:highlight w:val="none"/>
          <w14:textFill>
            <w14:solidFill>
              <w14:schemeClr w14:val="tx1"/>
            </w14:solidFill>
          </w14:textFill>
        </w:rPr>
        <w:t>在合同规定的期限或买方同意延长的期限内提供全部服务；</w:t>
      </w:r>
    </w:p>
    <w:p w14:paraId="63FD6A04">
      <w:pPr>
        <w:spacing w:line="500" w:lineRule="atLeast"/>
        <w:ind w:left="690" w:leftChars="10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（2）如果供方未能履行合同规定的其它义务，供方在收到买方发出的违约通知后30天内，或经买</w:t>
      </w:r>
      <w:r>
        <w:rPr>
          <w:rFonts w:hint="eastAsia" w:ascii="仿宋" w:hAnsi="仿宋" w:eastAsia="仿宋" w:cs="仿宋"/>
          <w:color w:val="000000" w:themeColor="text1"/>
          <w:sz w:val="24"/>
          <w:szCs w:val="24"/>
          <w:highlight w:val="none"/>
          <w14:textFill>
            <w14:solidFill>
              <w14:schemeClr w14:val="tx1"/>
            </w14:solidFill>
          </w14:textFill>
        </w:rPr>
        <w:t>方书面认可延长的时间内未能纠正其过失。买方可向供方发出书面通知，终止部分或全部合同。在这种情况下，并不影响买方向供方提出的索赔。</w:t>
      </w:r>
    </w:p>
    <w:p w14:paraId="3A949F84">
      <w:pPr>
        <w:spacing w:line="500" w:lineRule="atLeast"/>
        <w:ind w:left="510" w:hanging="5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13.2在买方根据上述第13.1条规定，终止了全部或部分合同，买方可以依其认为适当的条件和方法购买未完成的类似服务，供方应对购买类似服务所超出的费用负责。而且供方还应继续执行合同中未终止的部分。</w:t>
      </w:r>
    </w:p>
    <w:p w14:paraId="1F0546A7">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9" w:name="_Toc286758365"/>
      <w:r>
        <w:rPr>
          <w:rFonts w:hint="eastAsia" w:ascii="仿宋" w:hAnsi="仿宋" w:eastAsia="仿宋" w:cs="仿宋"/>
          <w:b/>
          <w:bCs/>
          <w:color w:val="000000" w:themeColor="text1"/>
          <w:sz w:val="24"/>
          <w:szCs w:val="24"/>
          <w:highlight w:val="none"/>
          <w14:textFill>
            <w14:solidFill>
              <w14:schemeClr w14:val="tx1"/>
            </w14:solidFill>
          </w14:textFill>
        </w:rPr>
        <w:t>14.破产终止合同</w:t>
      </w:r>
      <w:bookmarkEnd w:id="39"/>
    </w:p>
    <w:p w14:paraId="6D568D0B">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14.1如果供方破产或无清偿能力时，买方可在任何时候以书面通知供方终止合同。该终止合同将不损害或影响买方已经采取或将要采取的补救措施的权利。</w:t>
      </w:r>
    </w:p>
    <w:p w14:paraId="4943B653">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0" w:name="_Toc286758367"/>
      <w:r>
        <w:rPr>
          <w:rFonts w:hint="eastAsia" w:ascii="仿宋" w:hAnsi="仿宋" w:eastAsia="仿宋" w:cs="仿宋"/>
          <w:b/>
          <w:bCs/>
          <w:color w:val="000000" w:themeColor="text1"/>
          <w:sz w:val="24"/>
          <w:szCs w:val="24"/>
          <w:highlight w:val="none"/>
          <w14:textFill>
            <w14:solidFill>
              <w14:schemeClr w14:val="tx1"/>
            </w14:solidFill>
          </w14:textFill>
        </w:rPr>
        <w:t>15.合同修改</w:t>
      </w:r>
      <w:bookmarkEnd w:id="40"/>
    </w:p>
    <w:p w14:paraId="514B28F6">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15.1欲对合同条款进行任何改动，均须由买卖双方签署书面的合同修改书。</w:t>
      </w:r>
    </w:p>
    <w:p w14:paraId="5BFFE98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1" w:name="_Toc286758368"/>
      <w:r>
        <w:rPr>
          <w:rFonts w:hint="eastAsia" w:ascii="仿宋" w:hAnsi="仿宋" w:eastAsia="仿宋" w:cs="仿宋"/>
          <w:b/>
          <w:bCs/>
          <w:color w:val="000000" w:themeColor="text1"/>
          <w:sz w:val="24"/>
          <w:szCs w:val="24"/>
          <w:highlight w:val="none"/>
          <w14:textFill>
            <w14:solidFill>
              <w14:schemeClr w14:val="tx1"/>
            </w14:solidFill>
          </w14:textFill>
        </w:rPr>
        <w:t>16.通知</w:t>
      </w:r>
      <w:bookmarkEnd w:id="41"/>
    </w:p>
    <w:p w14:paraId="07A6E5A2">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16.1本合同任何一方给另一方的通知，都应以书面形式发送，而另一方应以书面形式确认并发送到对方明确的地址。</w:t>
      </w:r>
    </w:p>
    <w:p w14:paraId="1CC7763B">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2" w:name="_Toc286758369"/>
      <w:r>
        <w:rPr>
          <w:rFonts w:hint="eastAsia" w:ascii="仿宋" w:hAnsi="仿宋" w:eastAsia="仿宋" w:cs="仿宋"/>
          <w:b/>
          <w:bCs/>
          <w:color w:val="000000" w:themeColor="text1"/>
          <w:sz w:val="24"/>
          <w:szCs w:val="24"/>
          <w:highlight w:val="none"/>
          <w14:textFill>
            <w14:solidFill>
              <w14:schemeClr w14:val="tx1"/>
            </w14:solidFill>
          </w14:textFill>
        </w:rPr>
        <w:t>17.计量单位</w:t>
      </w:r>
      <w:bookmarkEnd w:id="42"/>
    </w:p>
    <w:p w14:paraId="673A2D4C">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17.1除规范要求中另有规定外，计量单位均使用国家法定计量单位。</w:t>
      </w:r>
    </w:p>
    <w:p w14:paraId="051F4E8F">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3" w:name="_Toc286758370"/>
      <w:r>
        <w:rPr>
          <w:rFonts w:hint="eastAsia" w:ascii="仿宋" w:hAnsi="仿宋" w:eastAsia="仿宋" w:cs="仿宋"/>
          <w:b/>
          <w:bCs/>
          <w:color w:val="000000" w:themeColor="text1"/>
          <w:sz w:val="24"/>
          <w:szCs w:val="24"/>
          <w:highlight w:val="none"/>
          <w14:textFill>
            <w14:solidFill>
              <w14:schemeClr w14:val="tx1"/>
            </w14:solidFill>
          </w14:textFill>
        </w:rPr>
        <w:t>18.适用法律</w:t>
      </w:r>
      <w:bookmarkEnd w:id="43"/>
    </w:p>
    <w:p w14:paraId="45764655">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18.1本合同应按照中华人民共和国的法律进行解释。</w:t>
      </w:r>
    </w:p>
    <w:p w14:paraId="3C44CA19">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4" w:name="_Toc286758372"/>
      <w:r>
        <w:rPr>
          <w:rFonts w:hint="eastAsia" w:ascii="仿宋" w:hAnsi="仿宋" w:eastAsia="仿宋" w:cs="仿宋"/>
          <w:b/>
          <w:bCs/>
          <w:color w:val="000000" w:themeColor="text1"/>
          <w:sz w:val="24"/>
          <w:szCs w:val="24"/>
          <w:highlight w:val="none"/>
          <w14:textFill>
            <w14:solidFill>
              <w14:schemeClr w14:val="tx1"/>
            </w14:solidFill>
          </w14:textFill>
        </w:rPr>
        <w:t>19.合同生效及其他</w:t>
      </w:r>
      <w:bookmarkEnd w:id="44"/>
    </w:p>
    <w:p w14:paraId="2CE77C52">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19.1合同应在双方签字盖章后开始生效。</w:t>
      </w:r>
    </w:p>
    <w:p w14:paraId="5179AA14">
      <w:pPr>
        <w:spacing w:line="500" w:lineRule="atLeast"/>
        <w:ind w:left="48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19.2本合同一式三份，以中文书写，双方各执一份，采购代理机构一份。</w:t>
      </w:r>
    </w:p>
    <w:p w14:paraId="2534D2F9">
      <w:pPr>
        <w:adjustRightInd w:val="0"/>
        <w:snapToGrid w:val="0"/>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19.3如需修改或补充合同内容，经协商，双方应签署书面修改或补充协议，该协议将作为本合同的一个组成部分。</w:t>
      </w:r>
    </w:p>
    <w:p w14:paraId="731C92E8">
      <w:pPr>
        <w:rPr>
          <w:rFonts w:hint="eastAsia" w:ascii="仿宋" w:hAnsi="仿宋" w:eastAsia="仿宋" w:cs="仿宋"/>
          <w:color w:val="000000" w:themeColor="text1"/>
          <w:sz w:val="24"/>
          <w:szCs w:val="24"/>
          <w:highlight w:val="none"/>
          <w14:textFill>
            <w14:solidFill>
              <w14:schemeClr w14:val="tx1"/>
            </w14:solidFill>
          </w14:textFill>
        </w:rPr>
      </w:pPr>
    </w:p>
    <w:p w14:paraId="4C766777">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甲方（盖章）：________　　　　　　乙方（盖章）：________</w:t>
      </w:r>
    </w:p>
    <w:p w14:paraId="7635DA85">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签约代表（签字）：________　　签约代表（签字）：________</w:t>
      </w:r>
    </w:p>
    <w:p w14:paraId="1C5E28CA">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地址：________　　　　　　　　地址：________</w:t>
      </w:r>
    </w:p>
    <w:p w14:paraId="1573F738">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电话：________　　　　　　　　电话：________</w:t>
      </w:r>
    </w:p>
    <w:p w14:paraId="6B85F67A">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传真：________　　　　　　　　传真：________</w:t>
      </w:r>
    </w:p>
    <w:p w14:paraId="747ABDB4">
      <w:pPr>
        <w:spacing w:line="500" w:lineRule="atLeast"/>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________年____月____日　　　　________年____月____日</w:t>
      </w:r>
    </w:p>
    <w:p w14:paraId="2924B7C6">
      <w:pPr>
        <w:rPr>
          <w:rFonts w:ascii="宋体" w:hAnsi="宋体"/>
          <w:color w:val="000000" w:themeColor="text1"/>
          <w14:textFill>
            <w14:solidFill>
              <w14:schemeClr w14:val="tx1"/>
            </w14:solidFill>
          </w14:textFill>
        </w:rPr>
        <w:sectPr>
          <w:footerReference r:id="rId7" w:type="default"/>
          <w:pgSz w:w="11906" w:h="16838"/>
          <w:pgMar w:top="1440" w:right="1274" w:bottom="1402" w:left="1800" w:header="720" w:footer="992" w:gutter="0"/>
          <w:cols w:space="720" w:num="1"/>
          <w:docGrid w:type="lines" w:linePitch="312" w:charSpace="0"/>
        </w:sectPr>
      </w:pPr>
    </w:p>
    <w:p w14:paraId="21D1561B">
      <w:pPr>
        <w:pStyle w:val="3"/>
        <w:jc w:val="center"/>
        <w:rPr>
          <w:rFonts w:ascii="仿宋" w:hAnsi="仿宋"/>
          <w:color w:val="auto"/>
          <w:sz w:val="44"/>
          <w:szCs w:val="44"/>
          <w:highlight w:val="none"/>
        </w:rPr>
      </w:pPr>
      <w:bookmarkStart w:id="45" w:name="_Toc21511"/>
      <w:r>
        <w:rPr>
          <w:rFonts w:hint="eastAsia" w:ascii="仿宋" w:hAnsi="仿宋"/>
          <w:color w:val="auto"/>
          <w:sz w:val="44"/>
          <w:szCs w:val="44"/>
          <w:highlight w:val="none"/>
          <w:lang w:eastAsia="zh-CN"/>
        </w:rPr>
        <w:t>询比响应文件</w:t>
      </w:r>
      <w:r>
        <w:rPr>
          <w:rFonts w:hint="eastAsia" w:ascii="仿宋" w:hAnsi="仿宋"/>
          <w:color w:val="auto"/>
          <w:sz w:val="44"/>
          <w:szCs w:val="44"/>
          <w:highlight w:val="none"/>
        </w:rPr>
        <w:t>格式</w:t>
      </w:r>
      <w:bookmarkEnd w:id="45"/>
    </w:p>
    <w:p w14:paraId="74DC3F3F">
      <w:pPr>
        <w:autoSpaceDE w:val="0"/>
        <w:autoSpaceDN w:val="0"/>
        <w:adjustRightInd w:val="0"/>
        <w:rPr>
          <w:rFonts w:ascii="黑体" w:hAnsi="黑体" w:eastAsia="黑体"/>
          <w:b/>
          <w:bCs/>
          <w:color w:val="auto"/>
          <w:kern w:val="0"/>
          <w:sz w:val="44"/>
          <w:szCs w:val="44"/>
          <w:highlight w:val="none"/>
          <w:lang w:val="zh-CN"/>
        </w:rPr>
      </w:pPr>
      <w:bookmarkStart w:id="46" w:name="_Toc177359678"/>
      <w:bookmarkStart w:id="47" w:name="_Toc181763631"/>
      <w:bookmarkStart w:id="48" w:name="_Toc177279329"/>
      <w:bookmarkStart w:id="49" w:name="_Toc181008484"/>
    </w:p>
    <w:p w14:paraId="2A0351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szCs w:val="24"/>
          <w:highlight w:val="none"/>
        </w:rPr>
      </w:pPr>
      <w:r>
        <w:rPr>
          <w:rFonts w:hint="eastAsia" w:ascii="宋体" w:hAnsi="宋体"/>
          <w:b/>
          <w:color w:val="auto"/>
          <w:kern w:val="0"/>
          <w:sz w:val="48"/>
          <w:szCs w:val="48"/>
          <w:highlight w:val="none"/>
        </w:rPr>
        <w:t xml:space="preserve">比 选 </w:t>
      </w:r>
      <w:r>
        <w:rPr>
          <w:rFonts w:hint="eastAsia" w:ascii="宋体" w:hAnsi="宋体"/>
          <w:b/>
          <w:color w:val="auto"/>
          <w:kern w:val="0"/>
          <w:sz w:val="48"/>
          <w:szCs w:val="48"/>
          <w:highlight w:val="none"/>
          <w:lang w:val="en-US" w:eastAsia="zh-CN"/>
        </w:rPr>
        <w:t>响 应</w:t>
      </w:r>
      <w:r>
        <w:rPr>
          <w:rFonts w:hint="eastAsia" w:ascii="宋体" w:hAnsi="宋体"/>
          <w:b/>
          <w:color w:val="auto"/>
          <w:kern w:val="0"/>
          <w:sz w:val="48"/>
          <w:szCs w:val="48"/>
          <w:highlight w:val="none"/>
        </w:rPr>
        <w:t xml:space="preserve"> 文 件</w:t>
      </w:r>
    </w:p>
    <w:p w14:paraId="13F81EAF">
      <w:pPr>
        <w:widowControl/>
        <w:spacing w:line="460" w:lineRule="exact"/>
        <w:jc w:val="left"/>
        <w:rPr>
          <w:rFonts w:ascii="宋体" w:hAnsi="宋体"/>
          <w:b/>
          <w:color w:val="auto"/>
          <w:kern w:val="0"/>
          <w:sz w:val="28"/>
          <w:szCs w:val="28"/>
          <w:highlight w:val="none"/>
        </w:rPr>
      </w:pPr>
    </w:p>
    <w:p w14:paraId="26B8657C">
      <w:pPr>
        <w:widowControl/>
        <w:spacing w:line="460" w:lineRule="exact"/>
        <w:jc w:val="center"/>
        <w:rPr>
          <w:rFonts w:ascii="宋体" w:hAnsi="宋体"/>
          <w:b/>
          <w:color w:val="auto"/>
          <w:kern w:val="0"/>
          <w:sz w:val="28"/>
          <w:szCs w:val="28"/>
          <w:highlight w:val="none"/>
        </w:rPr>
      </w:pPr>
    </w:p>
    <w:p w14:paraId="1C74A3B0">
      <w:pPr>
        <w:widowControl/>
        <w:spacing w:line="460" w:lineRule="exact"/>
        <w:ind w:firstLine="700"/>
        <w:jc w:val="left"/>
        <w:rPr>
          <w:rFonts w:ascii="宋体" w:hAnsi="宋体"/>
          <w:b/>
          <w:color w:val="auto"/>
          <w:kern w:val="0"/>
          <w:sz w:val="28"/>
          <w:szCs w:val="28"/>
          <w:highlight w:val="none"/>
        </w:rPr>
      </w:pPr>
    </w:p>
    <w:p w14:paraId="3E8FE364">
      <w:pPr>
        <w:widowControl/>
        <w:spacing w:line="460" w:lineRule="exact"/>
        <w:ind w:firstLine="700"/>
        <w:jc w:val="left"/>
        <w:rPr>
          <w:rFonts w:ascii="宋体" w:hAnsi="宋体"/>
          <w:b/>
          <w:color w:val="auto"/>
          <w:kern w:val="0"/>
          <w:sz w:val="28"/>
          <w:szCs w:val="28"/>
          <w:highlight w:val="none"/>
        </w:rPr>
      </w:pPr>
    </w:p>
    <w:p w14:paraId="3AADCF44">
      <w:pPr>
        <w:widowControl/>
        <w:spacing w:line="460" w:lineRule="exact"/>
        <w:ind w:firstLine="700"/>
        <w:jc w:val="left"/>
        <w:rPr>
          <w:rFonts w:ascii="宋体" w:hAnsi="宋体"/>
          <w:color w:val="auto"/>
          <w:kern w:val="0"/>
          <w:sz w:val="28"/>
          <w:szCs w:val="28"/>
          <w:highlight w:val="none"/>
        </w:rPr>
      </w:pPr>
    </w:p>
    <w:p w14:paraId="6FF5DAEE">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项目名称：</w:t>
      </w:r>
    </w:p>
    <w:p w14:paraId="5DFFABC4">
      <w:pPr>
        <w:widowControl/>
        <w:spacing w:line="460" w:lineRule="exact"/>
        <w:jc w:val="center"/>
        <w:rPr>
          <w:rFonts w:ascii="宋体" w:hAnsi="宋体"/>
          <w:color w:val="auto"/>
          <w:kern w:val="0"/>
          <w:sz w:val="28"/>
          <w:szCs w:val="28"/>
          <w:highlight w:val="none"/>
          <w:u w:val="single"/>
        </w:rPr>
      </w:pPr>
    </w:p>
    <w:p w14:paraId="665F09F2">
      <w:pPr>
        <w:widowControl/>
        <w:spacing w:line="460" w:lineRule="exact"/>
        <w:jc w:val="center"/>
        <w:rPr>
          <w:rFonts w:ascii="宋体" w:hAnsi="宋体"/>
          <w:color w:val="auto"/>
          <w:kern w:val="0"/>
          <w:sz w:val="28"/>
          <w:szCs w:val="28"/>
          <w:highlight w:val="none"/>
          <w:u w:val="single"/>
        </w:rPr>
      </w:pPr>
    </w:p>
    <w:p w14:paraId="2074FC02">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项目编号：</w:t>
      </w:r>
    </w:p>
    <w:p w14:paraId="63BA8857">
      <w:pPr>
        <w:widowControl/>
        <w:spacing w:line="460" w:lineRule="exact"/>
        <w:jc w:val="center"/>
        <w:rPr>
          <w:rFonts w:ascii="宋体" w:hAnsi="宋体"/>
          <w:color w:val="auto"/>
          <w:kern w:val="0"/>
          <w:sz w:val="28"/>
          <w:szCs w:val="28"/>
          <w:highlight w:val="none"/>
          <w:u w:val="single"/>
        </w:rPr>
      </w:pPr>
    </w:p>
    <w:p w14:paraId="5E0097C6">
      <w:pPr>
        <w:widowControl/>
        <w:spacing w:line="460" w:lineRule="exact"/>
        <w:jc w:val="center"/>
        <w:rPr>
          <w:rFonts w:ascii="宋体" w:hAnsi="宋体"/>
          <w:color w:val="auto"/>
          <w:kern w:val="0"/>
          <w:sz w:val="28"/>
          <w:szCs w:val="28"/>
          <w:highlight w:val="none"/>
          <w:u w:val="single"/>
        </w:rPr>
      </w:pPr>
    </w:p>
    <w:p w14:paraId="55D55494">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lang w:eastAsia="zh-CN"/>
        </w:rPr>
        <w:t>询比响应供应商</w:t>
      </w:r>
      <w:r>
        <w:rPr>
          <w:rFonts w:hint="eastAsia" w:ascii="宋体" w:hAnsi="宋体"/>
          <w:color w:val="auto"/>
          <w:kern w:val="0"/>
          <w:sz w:val="28"/>
          <w:szCs w:val="28"/>
          <w:highlight w:val="none"/>
        </w:rPr>
        <w:t>名称：（盖章）</w:t>
      </w:r>
    </w:p>
    <w:p w14:paraId="148EEF3D">
      <w:pPr>
        <w:widowControl/>
        <w:spacing w:line="460" w:lineRule="exact"/>
        <w:jc w:val="center"/>
        <w:rPr>
          <w:rFonts w:ascii="宋体" w:hAnsi="宋体"/>
          <w:color w:val="auto"/>
          <w:kern w:val="0"/>
          <w:sz w:val="28"/>
          <w:szCs w:val="28"/>
          <w:highlight w:val="none"/>
          <w:u w:val="single"/>
        </w:rPr>
      </w:pPr>
    </w:p>
    <w:p w14:paraId="53FE4323">
      <w:pPr>
        <w:widowControl/>
        <w:spacing w:line="460" w:lineRule="exact"/>
        <w:jc w:val="center"/>
        <w:rPr>
          <w:rFonts w:ascii="宋体" w:hAnsi="宋体"/>
          <w:color w:val="auto"/>
          <w:kern w:val="0"/>
          <w:sz w:val="28"/>
          <w:szCs w:val="28"/>
          <w:highlight w:val="none"/>
          <w:u w:val="single"/>
        </w:rPr>
      </w:pPr>
    </w:p>
    <w:p w14:paraId="3E98B171">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lang w:eastAsia="zh-CN"/>
        </w:rPr>
        <w:t>询比响应供应商</w:t>
      </w:r>
      <w:r>
        <w:rPr>
          <w:rFonts w:hint="eastAsia" w:ascii="宋体" w:hAnsi="宋体"/>
          <w:color w:val="auto"/>
          <w:kern w:val="0"/>
          <w:sz w:val="28"/>
          <w:szCs w:val="28"/>
          <w:highlight w:val="none"/>
        </w:rPr>
        <w:t>地址：</w:t>
      </w:r>
    </w:p>
    <w:p w14:paraId="2682DFBF">
      <w:pPr>
        <w:widowControl/>
        <w:spacing w:line="460" w:lineRule="exact"/>
        <w:ind w:firstLine="700"/>
        <w:jc w:val="left"/>
        <w:rPr>
          <w:rFonts w:ascii="宋体" w:hAnsi="宋体"/>
          <w:color w:val="auto"/>
          <w:kern w:val="0"/>
          <w:sz w:val="28"/>
          <w:szCs w:val="28"/>
          <w:highlight w:val="none"/>
          <w:u w:val="single"/>
        </w:rPr>
      </w:pPr>
    </w:p>
    <w:p w14:paraId="4DC8932C">
      <w:pPr>
        <w:widowControl/>
        <w:spacing w:line="460" w:lineRule="exact"/>
        <w:jc w:val="center"/>
        <w:rPr>
          <w:rFonts w:ascii="宋体" w:hAnsi="宋体"/>
          <w:color w:val="auto"/>
          <w:kern w:val="0"/>
          <w:sz w:val="28"/>
          <w:szCs w:val="28"/>
          <w:highlight w:val="none"/>
          <w:u w:val="single"/>
        </w:rPr>
      </w:pPr>
    </w:p>
    <w:p w14:paraId="6E8AACC6">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 xml:space="preserve">联系人：  </w:t>
      </w:r>
      <w:r>
        <w:rPr>
          <w:rFonts w:hint="eastAsia" w:ascii="宋体" w:hAnsi="宋体"/>
          <w:color w:val="auto"/>
          <w:kern w:val="0"/>
          <w:sz w:val="28"/>
          <w:szCs w:val="28"/>
          <w:highlight w:val="none"/>
          <w:lang w:val="en-US" w:eastAsia="zh-CN"/>
        </w:rPr>
        <w:t xml:space="preserve">                </w:t>
      </w:r>
      <w:r>
        <w:rPr>
          <w:rFonts w:hint="eastAsia" w:ascii="宋体" w:hAnsi="宋体"/>
          <w:color w:val="auto"/>
          <w:kern w:val="0"/>
          <w:sz w:val="28"/>
          <w:szCs w:val="28"/>
          <w:highlight w:val="none"/>
        </w:rPr>
        <w:t>联系电话：</w:t>
      </w:r>
    </w:p>
    <w:p w14:paraId="44719155">
      <w:pPr>
        <w:widowControl/>
        <w:jc w:val="center"/>
        <w:rPr>
          <w:rFonts w:ascii="宋体" w:hAnsi="宋体"/>
          <w:color w:val="auto"/>
          <w:kern w:val="0"/>
          <w:sz w:val="28"/>
          <w:szCs w:val="28"/>
          <w:highlight w:val="none"/>
        </w:rPr>
      </w:pPr>
    </w:p>
    <w:p w14:paraId="1897D576">
      <w:pPr>
        <w:widowControl/>
        <w:jc w:val="center"/>
        <w:rPr>
          <w:rFonts w:ascii="宋体" w:hAnsi="宋体"/>
          <w:color w:val="auto"/>
          <w:kern w:val="0"/>
          <w:sz w:val="24"/>
          <w:szCs w:val="24"/>
          <w:highlight w:val="none"/>
        </w:rPr>
      </w:pPr>
      <w:r>
        <w:rPr>
          <w:rFonts w:hint="eastAsia" w:ascii="宋体" w:hAnsi="宋体"/>
          <w:color w:val="auto"/>
          <w:kern w:val="0"/>
          <w:sz w:val="28"/>
          <w:szCs w:val="24"/>
          <w:highlight w:val="none"/>
        </w:rPr>
        <w:t>202</w:t>
      </w:r>
      <w:r>
        <w:rPr>
          <w:rFonts w:hint="eastAsia" w:ascii="宋体" w:hAnsi="宋体"/>
          <w:color w:val="auto"/>
          <w:kern w:val="0"/>
          <w:sz w:val="28"/>
          <w:szCs w:val="24"/>
          <w:highlight w:val="none"/>
          <w:lang w:val="en-US" w:eastAsia="zh-CN"/>
        </w:rPr>
        <w:t>5</w:t>
      </w:r>
      <w:r>
        <w:rPr>
          <w:rFonts w:hint="eastAsia" w:ascii="宋体" w:hAnsi="宋体"/>
          <w:color w:val="auto"/>
          <w:kern w:val="0"/>
          <w:sz w:val="28"/>
          <w:szCs w:val="24"/>
          <w:highlight w:val="none"/>
        </w:rPr>
        <w:t>年   月   日</w:t>
      </w:r>
    </w:p>
    <w:p w14:paraId="408E7445">
      <w:pPr>
        <w:widowControl/>
        <w:spacing w:line="480" w:lineRule="auto"/>
        <w:jc w:val="left"/>
        <w:rPr>
          <w:rFonts w:ascii="宋体" w:hAnsi="宋体"/>
          <w:color w:val="auto"/>
          <w:kern w:val="0"/>
          <w:sz w:val="32"/>
          <w:szCs w:val="24"/>
          <w:highlight w:val="none"/>
        </w:rPr>
      </w:pPr>
    </w:p>
    <w:p w14:paraId="705FF018">
      <w:pPr>
        <w:pageBreakBefore/>
        <w:widowControl/>
        <w:spacing w:line="480" w:lineRule="auto"/>
        <w:jc w:val="center"/>
        <w:rPr>
          <w:rFonts w:hint="eastAsia" w:ascii="宋体" w:hAnsi="宋体" w:eastAsia="宋体"/>
          <w:color w:val="auto"/>
          <w:kern w:val="0"/>
          <w:sz w:val="24"/>
          <w:szCs w:val="24"/>
          <w:highlight w:val="none"/>
          <w:lang w:eastAsia="zh-CN"/>
        </w:rPr>
      </w:pPr>
      <w:r>
        <w:rPr>
          <w:rFonts w:hint="eastAsia" w:ascii="宋体" w:hAnsi="宋体"/>
          <w:b/>
          <w:color w:val="auto"/>
          <w:kern w:val="0"/>
          <w:sz w:val="30"/>
          <w:szCs w:val="24"/>
          <w:highlight w:val="none"/>
        </w:rPr>
        <w:t>1、</w:t>
      </w:r>
      <w:r>
        <w:rPr>
          <w:rFonts w:hint="eastAsia" w:ascii="宋体" w:hAnsi="宋体"/>
          <w:b/>
          <w:color w:val="auto"/>
          <w:kern w:val="0"/>
          <w:sz w:val="30"/>
          <w:szCs w:val="24"/>
          <w:highlight w:val="none"/>
          <w:lang w:eastAsia="zh-CN"/>
        </w:rPr>
        <w:t>响应书</w:t>
      </w:r>
    </w:p>
    <w:p w14:paraId="6443B260">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致：</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lang w:eastAsia="zh-CN"/>
        </w:rPr>
        <w:t>采购人）</w:t>
      </w:r>
    </w:p>
    <w:p w14:paraId="61F14B94">
      <w:pPr>
        <w:widowControl/>
        <w:spacing w:line="432" w:lineRule="auto"/>
        <w:ind w:firstLine="480"/>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根据贵方为</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u w:val="single"/>
        </w:rPr>
        <w:t>项目名称</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项目招标采购服务的公开</w:t>
      </w:r>
      <w:r>
        <w:rPr>
          <w:rFonts w:hint="eastAsia" w:ascii="宋体" w:hAnsi="宋体"/>
          <w:color w:val="auto"/>
          <w:kern w:val="0"/>
          <w:sz w:val="24"/>
          <w:szCs w:val="24"/>
          <w:highlight w:val="none"/>
          <w:lang w:eastAsia="zh-CN"/>
        </w:rPr>
        <w:t>询比（</w:t>
      </w:r>
      <w:r>
        <w:rPr>
          <w:rFonts w:hint="eastAsia" w:ascii="宋体" w:hAnsi="宋体"/>
          <w:i/>
          <w:color w:val="auto"/>
          <w:kern w:val="0"/>
          <w:sz w:val="24"/>
          <w:szCs w:val="24"/>
          <w:highlight w:val="none"/>
          <w:u w:val="single"/>
        </w:rPr>
        <w:t>项目编号</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，签字代表</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u w:val="single"/>
        </w:rPr>
        <w:t>姓名、职务</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经正式授权并代表</w:t>
      </w:r>
      <w:r>
        <w:rPr>
          <w:rFonts w:hint="eastAsia" w:ascii="宋体" w:hAnsi="宋体"/>
          <w:color w:val="auto"/>
          <w:kern w:val="0"/>
          <w:sz w:val="24"/>
          <w:szCs w:val="24"/>
          <w:highlight w:val="none"/>
          <w:lang w:eastAsia="zh-CN"/>
        </w:rPr>
        <w:t>询比响应供应商（</w:t>
      </w:r>
      <w:r>
        <w:rPr>
          <w:rFonts w:hint="eastAsia" w:ascii="宋体" w:hAnsi="宋体"/>
          <w:i/>
          <w:color w:val="auto"/>
          <w:kern w:val="0"/>
          <w:sz w:val="24"/>
          <w:szCs w:val="24"/>
          <w:highlight w:val="none"/>
          <w:u w:val="single"/>
          <w:lang w:eastAsia="zh-CN"/>
        </w:rPr>
        <w:t>询比响应供应商</w:t>
      </w:r>
      <w:r>
        <w:rPr>
          <w:rFonts w:hint="eastAsia" w:ascii="宋体" w:hAnsi="宋体"/>
          <w:i/>
          <w:color w:val="auto"/>
          <w:kern w:val="0"/>
          <w:sz w:val="24"/>
          <w:szCs w:val="24"/>
          <w:highlight w:val="none"/>
          <w:u w:val="single"/>
        </w:rPr>
        <w:t>名称、地址</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提交下述文件</w:t>
      </w:r>
      <w:r>
        <w:rPr>
          <w:rFonts w:hint="eastAsia" w:ascii="宋体" w:hAnsi="宋体"/>
          <w:color w:val="auto"/>
          <w:kern w:val="0"/>
          <w:sz w:val="24"/>
          <w:szCs w:val="24"/>
          <w:highlight w:val="none"/>
          <w:lang w:eastAsia="zh-CN"/>
        </w:rPr>
        <w:t>：</w:t>
      </w:r>
    </w:p>
    <w:p w14:paraId="1F947006">
      <w:pPr>
        <w:widowControl/>
        <w:spacing w:line="432" w:lineRule="auto"/>
        <w:ind w:left="707" w:hanging="283"/>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1.</w:t>
      </w:r>
      <w:r>
        <w:rPr>
          <w:rFonts w:hint="eastAsia" w:ascii="宋体" w:hAnsi="宋体"/>
          <w:color w:val="auto"/>
          <w:kern w:val="0"/>
          <w:sz w:val="24"/>
          <w:szCs w:val="24"/>
          <w:highlight w:val="none"/>
          <w:lang w:eastAsia="zh-CN"/>
        </w:rPr>
        <w:t>响应书</w:t>
      </w:r>
    </w:p>
    <w:p w14:paraId="05C83763">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2.报价表</w:t>
      </w:r>
    </w:p>
    <w:p w14:paraId="4E721FEE">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3.资格证明文件</w:t>
      </w:r>
    </w:p>
    <w:p w14:paraId="5924897E">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4.</w:t>
      </w:r>
      <w:r>
        <w:rPr>
          <w:rFonts w:hint="eastAsia" w:ascii="宋体" w:hAnsi="宋体"/>
          <w:color w:val="auto"/>
          <w:kern w:val="0"/>
          <w:sz w:val="24"/>
          <w:szCs w:val="24"/>
          <w:highlight w:val="none"/>
          <w:lang w:eastAsia="zh-CN"/>
        </w:rPr>
        <w:t>采购人</w:t>
      </w:r>
      <w:r>
        <w:rPr>
          <w:rFonts w:hint="eastAsia" w:ascii="宋体" w:hAnsi="宋体"/>
          <w:color w:val="auto"/>
          <w:kern w:val="0"/>
          <w:sz w:val="24"/>
          <w:szCs w:val="24"/>
          <w:highlight w:val="none"/>
        </w:rPr>
        <w:t>要求提供的其它证明文件</w:t>
      </w:r>
    </w:p>
    <w:p w14:paraId="67BE9C4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5.提交的</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保证金，金额为</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rPr>
        <w:t>。</w:t>
      </w:r>
    </w:p>
    <w:p w14:paraId="69A364A1">
      <w:pPr>
        <w:widowControl/>
        <w:spacing w:line="432" w:lineRule="auto"/>
        <w:ind w:left="707" w:hanging="283"/>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据此函</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签字代表宣布同意如下</w:t>
      </w:r>
      <w:r>
        <w:rPr>
          <w:rFonts w:hint="eastAsia" w:ascii="宋体" w:hAnsi="宋体"/>
          <w:color w:val="auto"/>
          <w:kern w:val="0"/>
          <w:sz w:val="24"/>
          <w:szCs w:val="24"/>
          <w:highlight w:val="none"/>
          <w:lang w:eastAsia="zh-CN"/>
        </w:rPr>
        <w:t>：</w:t>
      </w:r>
    </w:p>
    <w:p w14:paraId="303DC77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1.所附</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报价为</w:t>
      </w:r>
      <w:r>
        <w:rPr>
          <w:rFonts w:hint="eastAsia" w:ascii="宋体" w:hAnsi="宋体"/>
          <w:color w:val="auto"/>
          <w:kern w:val="0"/>
          <w:sz w:val="24"/>
          <w:szCs w:val="24"/>
          <w:highlight w:val="none"/>
          <w:u w:val="single"/>
        </w:rPr>
        <w:t>（用文字和数字表示的</w:t>
      </w:r>
      <w:r>
        <w:rPr>
          <w:rFonts w:hint="eastAsia" w:ascii="宋体" w:hAnsi="宋体"/>
          <w:color w:val="auto"/>
          <w:kern w:val="0"/>
          <w:sz w:val="24"/>
          <w:szCs w:val="24"/>
          <w:highlight w:val="none"/>
          <w:u w:val="single"/>
          <w:lang w:eastAsia="zh-CN"/>
        </w:rPr>
        <w:t>询比</w:t>
      </w:r>
      <w:r>
        <w:rPr>
          <w:rFonts w:hint="eastAsia" w:ascii="宋体" w:hAnsi="宋体"/>
          <w:color w:val="auto"/>
          <w:kern w:val="0"/>
          <w:sz w:val="24"/>
          <w:szCs w:val="24"/>
          <w:highlight w:val="none"/>
          <w:u w:val="single"/>
        </w:rPr>
        <w:t>报价）</w:t>
      </w:r>
      <w:r>
        <w:rPr>
          <w:rFonts w:hint="eastAsia" w:ascii="宋体" w:hAnsi="宋体"/>
          <w:color w:val="auto"/>
          <w:kern w:val="0"/>
          <w:sz w:val="24"/>
          <w:szCs w:val="24"/>
          <w:highlight w:val="none"/>
        </w:rPr>
        <w:t>。</w:t>
      </w:r>
    </w:p>
    <w:p w14:paraId="693F4A7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2.我方将按</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文件的规定履行协议责任和义务。</w:t>
      </w:r>
    </w:p>
    <w:p w14:paraId="0DCA6581">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3.我方已详细审查全部</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文件，包括第</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u w:val="single"/>
        </w:rPr>
        <w:t>编号、补遗书</w:t>
      </w:r>
      <w:r>
        <w:rPr>
          <w:rFonts w:hint="eastAsia" w:ascii="宋体" w:hAnsi="宋体"/>
          <w:color w:val="auto"/>
          <w:kern w:val="0"/>
          <w:sz w:val="24"/>
          <w:szCs w:val="24"/>
          <w:highlight w:val="none"/>
          <w:u w:val="single"/>
          <w:lang w:eastAsia="zh-CN"/>
        </w:rPr>
        <w:t>）（</w:t>
      </w:r>
      <w:r>
        <w:rPr>
          <w:rFonts w:hint="eastAsia" w:ascii="宋体" w:hAnsi="宋体"/>
          <w:color w:val="auto"/>
          <w:kern w:val="0"/>
          <w:sz w:val="24"/>
          <w:szCs w:val="24"/>
          <w:highlight w:val="none"/>
          <w:u w:val="single"/>
        </w:rPr>
        <w:t>如果有的话</w:t>
      </w:r>
      <w:r>
        <w:rPr>
          <w:rFonts w:hint="eastAsia" w:ascii="宋体" w:hAnsi="宋体"/>
          <w:color w:val="auto"/>
          <w:kern w:val="0"/>
          <w:sz w:val="24"/>
          <w:szCs w:val="24"/>
          <w:highlight w:val="none"/>
          <w:u w:val="single"/>
          <w:lang w:eastAsia="zh-CN"/>
        </w:rPr>
        <w:t>）</w:t>
      </w: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rPr>
        <w:t>我们完全理解并同意放弃对这方面有不明及误解的权力。</w:t>
      </w:r>
    </w:p>
    <w:p w14:paraId="58E5D142">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4.本</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有效期为自</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之日起</w:t>
      </w:r>
      <w:r>
        <w:rPr>
          <w:rFonts w:hint="eastAsia" w:ascii="宋体" w:hAnsi="宋体"/>
          <w:color w:val="auto"/>
          <w:kern w:val="0"/>
          <w:sz w:val="24"/>
          <w:szCs w:val="24"/>
          <w:highlight w:val="none"/>
          <w:u w:val="single"/>
        </w:rPr>
        <w:t>90</w:t>
      </w:r>
      <w:r>
        <w:rPr>
          <w:rFonts w:hint="eastAsia" w:ascii="宋体" w:hAnsi="宋体"/>
          <w:color w:val="auto"/>
          <w:kern w:val="0"/>
          <w:sz w:val="24"/>
          <w:szCs w:val="24"/>
          <w:highlight w:val="none"/>
        </w:rPr>
        <w:t>个日历日。</w:t>
      </w:r>
    </w:p>
    <w:p w14:paraId="154F88DA">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5.我方同意提供按照贵方可能要求的与其</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有关的一切数据或资料。</w:t>
      </w:r>
    </w:p>
    <w:p w14:paraId="77E40E8B">
      <w:pPr>
        <w:widowControl/>
        <w:spacing w:line="432" w:lineRule="auto"/>
        <w:jc w:val="left"/>
        <w:rPr>
          <w:rFonts w:ascii="宋体" w:hAnsi="宋体"/>
          <w:color w:val="auto"/>
          <w:kern w:val="0"/>
          <w:sz w:val="24"/>
          <w:szCs w:val="24"/>
          <w:highlight w:val="none"/>
        </w:rPr>
      </w:pPr>
    </w:p>
    <w:p w14:paraId="5152F098">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地址    传真</w:t>
      </w:r>
    </w:p>
    <w:p w14:paraId="1080C424">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电话    电子邮件</w:t>
      </w:r>
    </w:p>
    <w:p w14:paraId="7A024C2A">
      <w:pPr>
        <w:widowControl/>
        <w:spacing w:line="432" w:lineRule="auto"/>
        <w:jc w:val="left"/>
        <w:rPr>
          <w:rFonts w:ascii="宋体" w:hAnsi="宋体"/>
          <w:color w:val="auto"/>
          <w:kern w:val="0"/>
          <w:sz w:val="24"/>
          <w:szCs w:val="24"/>
          <w:highlight w:val="none"/>
          <w:u w:val="single"/>
        </w:rPr>
      </w:pPr>
    </w:p>
    <w:p w14:paraId="2C1B45B1">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代表签字</w:t>
      </w:r>
    </w:p>
    <w:p w14:paraId="7ED9A822">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名称                                            公章</w:t>
      </w:r>
    </w:p>
    <w:p w14:paraId="25CB1C4C">
      <w:pPr>
        <w:widowControl/>
        <w:spacing w:line="432" w:lineRule="auto"/>
        <w:jc w:val="left"/>
        <w:rPr>
          <w:rFonts w:ascii="宋体" w:hAnsi="宋体"/>
          <w:color w:val="auto"/>
          <w:highlight w:val="none"/>
        </w:rPr>
        <w:sectPr>
          <w:pgSz w:w="11906" w:h="16838"/>
          <w:pgMar w:top="1440" w:right="1274" w:bottom="1402" w:left="1800" w:header="720" w:footer="992" w:gutter="0"/>
          <w:cols w:space="720" w:num="1"/>
          <w:docGrid w:type="lines" w:linePitch="312" w:charSpace="0"/>
        </w:sectPr>
      </w:pPr>
      <w:r>
        <w:rPr>
          <w:rFonts w:hint="eastAsia" w:ascii="宋体" w:hAnsi="宋体"/>
          <w:color w:val="auto"/>
          <w:kern w:val="0"/>
          <w:sz w:val="24"/>
          <w:szCs w:val="24"/>
          <w:highlight w:val="none"/>
        </w:rPr>
        <w:t>日期</w:t>
      </w:r>
    </w:p>
    <w:p w14:paraId="32A89B6E">
      <w:pPr>
        <w:widowControl/>
        <w:spacing w:line="48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rPr>
        <w:t>2、报价表</w:t>
      </w:r>
    </w:p>
    <w:p w14:paraId="1FD5F324">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项目编号：</w:t>
      </w:r>
    </w:p>
    <w:p w14:paraId="0AC35EF3">
      <w:pPr>
        <w:widowControl/>
        <w:spacing w:line="360" w:lineRule="auto"/>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项目名称</w:t>
      </w:r>
      <w:r>
        <w:rPr>
          <w:rFonts w:hint="eastAsia" w:ascii="宋体" w:hAnsi="宋体"/>
          <w:color w:val="auto"/>
          <w:kern w:val="0"/>
          <w:sz w:val="24"/>
          <w:szCs w:val="24"/>
          <w:highlight w:val="none"/>
          <w:lang w:eastAsia="zh-CN"/>
        </w:rPr>
        <w:t>：</w:t>
      </w:r>
    </w:p>
    <w:tbl>
      <w:tblPr>
        <w:tblStyle w:val="30"/>
        <w:tblW w:w="9149" w:type="dxa"/>
        <w:tblInd w:w="-40" w:type="dxa"/>
        <w:tblLayout w:type="fixed"/>
        <w:tblCellMar>
          <w:top w:w="0" w:type="dxa"/>
          <w:left w:w="108" w:type="dxa"/>
          <w:bottom w:w="0" w:type="dxa"/>
          <w:right w:w="108" w:type="dxa"/>
        </w:tblCellMar>
      </w:tblPr>
      <w:tblGrid>
        <w:gridCol w:w="875"/>
        <w:gridCol w:w="2751"/>
        <w:gridCol w:w="2382"/>
        <w:gridCol w:w="2118"/>
        <w:gridCol w:w="1023"/>
      </w:tblGrid>
      <w:tr w14:paraId="03C2D92E">
        <w:tblPrEx>
          <w:tblCellMar>
            <w:top w:w="0" w:type="dxa"/>
            <w:left w:w="108" w:type="dxa"/>
            <w:bottom w:w="0" w:type="dxa"/>
            <w:right w:w="108" w:type="dxa"/>
          </w:tblCellMar>
        </w:tblPrEx>
        <w:trPr>
          <w:trHeight w:val="968" w:hRule="atLeast"/>
        </w:trPr>
        <w:tc>
          <w:tcPr>
            <w:tcW w:w="875" w:type="dxa"/>
            <w:tcBorders>
              <w:top w:val="single" w:color="000000" w:sz="8" w:space="0"/>
              <w:left w:val="single" w:color="000000" w:sz="8" w:space="0"/>
              <w:bottom w:val="single" w:color="000000" w:sz="4" w:space="0"/>
              <w:right w:val="single" w:color="000000" w:sz="4" w:space="0"/>
            </w:tcBorders>
            <w:noWrap/>
            <w:vAlign w:val="center"/>
          </w:tcPr>
          <w:p w14:paraId="20B1DE77">
            <w:pPr>
              <w:widowControl/>
              <w:jc w:val="center"/>
              <w:rPr>
                <w:rFonts w:ascii="宋体" w:hAnsi="宋体"/>
                <w:color w:val="auto"/>
                <w:kern w:val="0"/>
                <w:sz w:val="24"/>
                <w:szCs w:val="24"/>
                <w:highlight w:val="none"/>
              </w:rPr>
            </w:pPr>
            <w:r>
              <w:rPr>
                <w:rFonts w:hint="eastAsia" w:ascii="宋体" w:hAnsi="宋体"/>
                <w:color w:val="auto"/>
                <w:kern w:val="0"/>
                <w:sz w:val="24"/>
                <w:szCs w:val="24"/>
                <w:highlight w:val="none"/>
              </w:rPr>
              <w:t>序号</w:t>
            </w:r>
          </w:p>
        </w:tc>
        <w:tc>
          <w:tcPr>
            <w:tcW w:w="2751" w:type="dxa"/>
            <w:tcBorders>
              <w:top w:val="single" w:color="000000" w:sz="8" w:space="0"/>
              <w:left w:val="single" w:color="000000" w:sz="4" w:space="0"/>
              <w:bottom w:val="single" w:color="000000" w:sz="4" w:space="0"/>
              <w:right w:val="single" w:color="000000" w:sz="4" w:space="0"/>
            </w:tcBorders>
            <w:noWrap/>
            <w:vAlign w:val="center"/>
          </w:tcPr>
          <w:p w14:paraId="6302B611">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询比供应商</w:t>
            </w:r>
            <w:r>
              <w:rPr>
                <w:rFonts w:hint="eastAsia" w:ascii="宋体" w:hAnsi="宋体" w:eastAsia="宋体" w:cs="宋体"/>
                <w:color w:val="auto"/>
                <w:kern w:val="0"/>
                <w:sz w:val="24"/>
                <w:szCs w:val="24"/>
                <w:highlight w:val="none"/>
                <w:lang w:val="en-US" w:eastAsia="zh-CN"/>
              </w:rPr>
              <w:t>名称</w:t>
            </w:r>
          </w:p>
        </w:tc>
        <w:tc>
          <w:tcPr>
            <w:tcW w:w="2382" w:type="dxa"/>
            <w:tcBorders>
              <w:top w:val="single" w:color="000000" w:sz="8" w:space="0"/>
              <w:left w:val="single" w:color="000000" w:sz="4" w:space="0"/>
              <w:bottom w:val="single" w:color="000000" w:sz="4" w:space="0"/>
              <w:right w:val="single" w:color="000000" w:sz="4" w:space="0"/>
            </w:tcBorders>
            <w:noWrap/>
            <w:vAlign w:val="center"/>
          </w:tcPr>
          <w:p w14:paraId="1C72D5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总报价（元）</w:t>
            </w:r>
          </w:p>
        </w:tc>
        <w:tc>
          <w:tcPr>
            <w:tcW w:w="2118" w:type="dxa"/>
            <w:tcBorders>
              <w:top w:val="single" w:color="000000" w:sz="8" w:space="0"/>
              <w:left w:val="single" w:color="000000" w:sz="4" w:space="0"/>
              <w:bottom w:val="single" w:color="000000" w:sz="4" w:space="0"/>
              <w:right w:val="single" w:color="000000" w:sz="4" w:space="0"/>
            </w:tcBorders>
            <w:noWrap/>
            <w:vAlign w:val="center"/>
          </w:tcPr>
          <w:p w14:paraId="05F7372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询比</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val="en-US" w:eastAsia="zh-CN"/>
              </w:rPr>
              <w:t>金额</w:t>
            </w:r>
          </w:p>
        </w:tc>
        <w:tc>
          <w:tcPr>
            <w:tcW w:w="1023" w:type="dxa"/>
            <w:tcBorders>
              <w:top w:val="single" w:color="000000" w:sz="8" w:space="0"/>
              <w:left w:val="single" w:color="000000" w:sz="4" w:space="0"/>
              <w:bottom w:val="single" w:color="000000" w:sz="4" w:space="0"/>
              <w:right w:val="single" w:color="000000" w:sz="8" w:space="0"/>
            </w:tcBorders>
            <w:noWrap/>
            <w:vAlign w:val="center"/>
          </w:tcPr>
          <w:p w14:paraId="38E352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448A2B09">
        <w:tblPrEx>
          <w:tblCellMar>
            <w:top w:w="0" w:type="dxa"/>
            <w:left w:w="108" w:type="dxa"/>
            <w:bottom w:w="0" w:type="dxa"/>
            <w:right w:w="108" w:type="dxa"/>
          </w:tblCellMar>
        </w:tblPrEx>
        <w:trPr>
          <w:trHeight w:val="1919" w:hRule="atLeast"/>
        </w:trPr>
        <w:tc>
          <w:tcPr>
            <w:tcW w:w="875" w:type="dxa"/>
            <w:tcBorders>
              <w:top w:val="single" w:color="000000" w:sz="4" w:space="0"/>
              <w:left w:val="single" w:color="000000" w:sz="8" w:space="0"/>
              <w:bottom w:val="single" w:color="000000" w:sz="8" w:space="0"/>
              <w:right w:val="single" w:color="000000" w:sz="4" w:space="0"/>
            </w:tcBorders>
            <w:noWrap/>
            <w:vAlign w:val="center"/>
          </w:tcPr>
          <w:p w14:paraId="21F615FE">
            <w:pPr>
              <w:widowControl/>
              <w:spacing w:line="432"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751" w:type="dxa"/>
            <w:tcBorders>
              <w:top w:val="single" w:color="000000" w:sz="4" w:space="0"/>
              <w:left w:val="single" w:color="000000" w:sz="4" w:space="0"/>
              <w:bottom w:val="single" w:color="000000" w:sz="8" w:space="0"/>
              <w:right w:val="single" w:color="000000" w:sz="4" w:space="0"/>
            </w:tcBorders>
            <w:noWrap/>
            <w:vAlign w:val="center"/>
          </w:tcPr>
          <w:p w14:paraId="7480BFD9">
            <w:pPr>
              <w:widowControl/>
              <w:spacing w:line="432" w:lineRule="auto"/>
              <w:jc w:val="center"/>
              <w:rPr>
                <w:rFonts w:hint="eastAsia" w:ascii="宋体" w:hAnsi="宋体"/>
                <w:color w:val="auto"/>
                <w:kern w:val="0"/>
                <w:sz w:val="24"/>
                <w:szCs w:val="24"/>
                <w:highlight w:val="none"/>
              </w:rPr>
            </w:pPr>
          </w:p>
        </w:tc>
        <w:tc>
          <w:tcPr>
            <w:tcW w:w="2382" w:type="dxa"/>
            <w:tcBorders>
              <w:top w:val="single" w:color="000000" w:sz="4" w:space="0"/>
              <w:left w:val="single" w:color="000000" w:sz="4" w:space="0"/>
              <w:bottom w:val="single" w:color="000000" w:sz="8" w:space="0"/>
              <w:right w:val="single" w:color="000000" w:sz="4" w:space="0"/>
            </w:tcBorders>
            <w:noWrap/>
            <w:vAlign w:val="center"/>
          </w:tcPr>
          <w:p w14:paraId="2191C95A">
            <w:pPr>
              <w:widowControl/>
              <w:spacing w:line="432" w:lineRule="auto"/>
              <w:jc w:val="center"/>
              <w:rPr>
                <w:rFonts w:hint="eastAsia" w:ascii="宋体" w:hAnsi="宋体"/>
                <w:color w:val="auto"/>
                <w:kern w:val="0"/>
                <w:sz w:val="24"/>
                <w:szCs w:val="24"/>
                <w:highlight w:val="none"/>
              </w:rPr>
            </w:pPr>
          </w:p>
        </w:tc>
        <w:tc>
          <w:tcPr>
            <w:tcW w:w="2118" w:type="dxa"/>
            <w:tcBorders>
              <w:top w:val="single" w:color="000000" w:sz="4" w:space="0"/>
              <w:left w:val="single" w:color="000000" w:sz="4" w:space="0"/>
              <w:bottom w:val="single" w:color="000000" w:sz="8" w:space="0"/>
              <w:right w:val="single" w:color="000000" w:sz="4" w:space="0"/>
            </w:tcBorders>
            <w:noWrap/>
            <w:vAlign w:val="center"/>
          </w:tcPr>
          <w:p w14:paraId="032F8D38">
            <w:pPr>
              <w:widowControl/>
              <w:spacing w:line="432" w:lineRule="auto"/>
              <w:jc w:val="center"/>
              <w:rPr>
                <w:rFonts w:hint="eastAsia" w:ascii="宋体" w:hAnsi="宋体"/>
                <w:color w:val="auto"/>
                <w:kern w:val="0"/>
                <w:sz w:val="24"/>
                <w:szCs w:val="24"/>
                <w:highlight w:val="none"/>
              </w:rPr>
            </w:pPr>
          </w:p>
        </w:tc>
        <w:tc>
          <w:tcPr>
            <w:tcW w:w="1023" w:type="dxa"/>
            <w:tcBorders>
              <w:top w:val="single" w:color="000000" w:sz="4" w:space="0"/>
              <w:left w:val="single" w:color="000000" w:sz="4" w:space="0"/>
              <w:bottom w:val="single" w:color="000000" w:sz="8" w:space="0"/>
              <w:right w:val="single" w:color="000000" w:sz="8" w:space="0"/>
            </w:tcBorders>
            <w:noWrap/>
            <w:vAlign w:val="center"/>
          </w:tcPr>
          <w:p w14:paraId="741A3A52">
            <w:pPr>
              <w:widowControl/>
              <w:spacing w:line="432" w:lineRule="auto"/>
              <w:jc w:val="center"/>
              <w:rPr>
                <w:rFonts w:hint="eastAsia" w:ascii="宋体" w:hAnsi="宋体"/>
                <w:color w:val="auto"/>
                <w:kern w:val="0"/>
                <w:sz w:val="24"/>
                <w:szCs w:val="24"/>
                <w:highlight w:val="none"/>
              </w:rPr>
            </w:pPr>
          </w:p>
        </w:tc>
      </w:tr>
    </w:tbl>
    <w:p w14:paraId="70B70343">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（盖章）：</w:t>
      </w:r>
    </w:p>
    <w:p w14:paraId="37B04104">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代表签字：</w:t>
      </w:r>
    </w:p>
    <w:p w14:paraId="74EBD9E3">
      <w:pPr>
        <w:spacing w:line="432" w:lineRule="auto"/>
        <w:rPr>
          <w:rFonts w:ascii="宋体" w:hAnsi="宋体"/>
          <w:color w:val="auto"/>
          <w:highlight w:val="none"/>
        </w:rPr>
        <w:sectPr>
          <w:footerReference r:id="rId10" w:type="first"/>
          <w:footerReference r:id="rId8" w:type="default"/>
          <w:footerReference r:id="rId9" w:type="even"/>
          <w:pgSz w:w="11906" w:h="16838"/>
          <w:pgMar w:top="1712" w:right="1797" w:bottom="1559" w:left="1673" w:header="720" w:footer="1213" w:gutter="0"/>
          <w:cols w:space="720" w:num="1"/>
          <w:docGrid w:linePitch="312" w:charSpace="0"/>
        </w:sectPr>
      </w:pPr>
      <w:r>
        <w:rPr>
          <w:rFonts w:hint="eastAsia" w:ascii="宋体" w:hAnsi="宋体"/>
          <w:color w:val="auto"/>
          <w:kern w:val="0"/>
          <w:sz w:val="24"/>
          <w:szCs w:val="24"/>
          <w:highlight w:val="none"/>
        </w:rPr>
        <w:t>日   期：</w:t>
      </w:r>
    </w:p>
    <w:p w14:paraId="717730B9">
      <w:pPr>
        <w:widowControl/>
        <w:spacing w:line="48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24"/>
          <w:highlight w:val="none"/>
          <w:lang w:val="en-US" w:eastAsia="zh-CN"/>
        </w:rPr>
        <w:t>3</w:t>
      </w:r>
      <w:r>
        <w:rPr>
          <w:rFonts w:hint="eastAsia" w:ascii="宋体" w:hAnsi="宋体" w:eastAsia="宋体" w:cs="宋体"/>
          <w:b/>
          <w:color w:val="auto"/>
          <w:kern w:val="0"/>
          <w:sz w:val="30"/>
          <w:szCs w:val="24"/>
          <w:highlight w:val="none"/>
        </w:rPr>
        <w:t>、</w:t>
      </w:r>
      <w:r>
        <w:rPr>
          <w:rFonts w:hint="eastAsia" w:ascii="宋体" w:hAnsi="宋体" w:eastAsia="宋体" w:cs="宋体"/>
          <w:b/>
          <w:color w:val="auto"/>
          <w:kern w:val="0"/>
          <w:sz w:val="30"/>
          <w:szCs w:val="24"/>
          <w:highlight w:val="none"/>
          <w:lang w:val="en-US" w:eastAsia="zh-CN"/>
        </w:rPr>
        <w:t>分项</w:t>
      </w:r>
      <w:r>
        <w:rPr>
          <w:rFonts w:hint="eastAsia" w:ascii="宋体" w:hAnsi="宋体" w:eastAsia="宋体" w:cs="宋体"/>
          <w:b/>
          <w:color w:val="auto"/>
          <w:kern w:val="0"/>
          <w:sz w:val="30"/>
          <w:szCs w:val="24"/>
          <w:highlight w:val="none"/>
        </w:rPr>
        <w:t>报价表</w:t>
      </w:r>
    </w:p>
    <w:p w14:paraId="74E0857A">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w:t>
      </w:r>
    </w:p>
    <w:tbl>
      <w:tblPr>
        <w:tblStyle w:val="30"/>
        <w:tblW w:w="4998" w:type="pct"/>
        <w:tblInd w:w="0" w:type="dxa"/>
        <w:tblLayout w:type="autofit"/>
        <w:tblCellMar>
          <w:top w:w="0" w:type="dxa"/>
          <w:left w:w="108" w:type="dxa"/>
          <w:bottom w:w="0" w:type="dxa"/>
          <w:right w:w="108" w:type="dxa"/>
        </w:tblCellMar>
      </w:tblPr>
      <w:tblGrid>
        <w:gridCol w:w="1034"/>
        <w:gridCol w:w="3782"/>
        <w:gridCol w:w="2625"/>
        <w:gridCol w:w="1208"/>
      </w:tblGrid>
      <w:tr w14:paraId="79A3F658">
        <w:tblPrEx>
          <w:tblCellMar>
            <w:top w:w="0" w:type="dxa"/>
            <w:left w:w="108" w:type="dxa"/>
            <w:bottom w:w="0" w:type="dxa"/>
            <w:right w:w="108" w:type="dxa"/>
          </w:tblCellMar>
        </w:tblPrEx>
        <w:trPr>
          <w:trHeight w:val="748" w:hRule="atLeast"/>
        </w:trPr>
        <w:tc>
          <w:tcPr>
            <w:tcW w:w="598" w:type="pct"/>
            <w:tcBorders>
              <w:top w:val="single" w:color="000000" w:sz="8" w:space="0"/>
              <w:left w:val="single" w:color="000000" w:sz="8" w:space="0"/>
              <w:bottom w:val="single" w:color="000000" w:sz="4" w:space="0"/>
              <w:right w:val="single" w:color="000000" w:sz="4" w:space="0"/>
            </w:tcBorders>
            <w:noWrap/>
            <w:vAlign w:val="center"/>
          </w:tcPr>
          <w:p w14:paraId="4B754E0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185" w:type="pct"/>
            <w:tcBorders>
              <w:top w:val="single" w:color="000000" w:sz="8" w:space="0"/>
              <w:left w:val="single" w:color="000000" w:sz="4" w:space="0"/>
              <w:bottom w:val="single" w:color="000000" w:sz="4" w:space="0"/>
              <w:right w:val="single" w:color="000000" w:sz="4" w:space="0"/>
            </w:tcBorders>
            <w:noWrap/>
            <w:vAlign w:val="center"/>
          </w:tcPr>
          <w:p w14:paraId="225979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费用名称</w:t>
            </w:r>
          </w:p>
        </w:tc>
        <w:tc>
          <w:tcPr>
            <w:tcW w:w="1517" w:type="pct"/>
            <w:tcBorders>
              <w:top w:val="single" w:color="000000" w:sz="8" w:space="0"/>
              <w:left w:val="single" w:color="000000" w:sz="4" w:space="0"/>
              <w:bottom w:val="single" w:color="000000" w:sz="4" w:space="0"/>
              <w:right w:val="single" w:color="000000" w:sz="4" w:space="0"/>
            </w:tcBorders>
            <w:noWrap/>
            <w:vAlign w:val="center"/>
          </w:tcPr>
          <w:p w14:paraId="5D0FC8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报价（元）</w:t>
            </w:r>
          </w:p>
        </w:tc>
        <w:tc>
          <w:tcPr>
            <w:tcW w:w="698" w:type="pct"/>
            <w:tcBorders>
              <w:top w:val="single" w:color="000000" w:sz="8" w:space="0"/>
              <w:left w:val="single" w:color="000000" w:sz="4" w:space="0"/>
              <w:bottom w:val="single" w:color="000000" w:sz="4" w:space="0"/>
              <w:right w:val="single" w:color="000000" w:sz="8" w:space="0"/>
            </w:tcBorders>
            <w:noWrap/>
            <w:vAlign w:val="center"/>
          </w:tcPr>
          <w:p w14:paraId="25623F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23C03C5A">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3E111E44">
            <w:pPr>
              <w:widowControl/>
              <w:spacing w:line="432"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4CA681F">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0A80658D">
            <w:pPr>
              <w:widowControl/>
              <w:spacing w:line="432"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填总额</w:t>
            </w: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60362563">
            <w:pPr>
              <w:widowControl/>
              <w:snapToGrid w:val="0"/>
              <w:spacing w:line="432" w:lineRule="auto"/>
              <w:jc w:val="center"/>
              <w:rPr>
                <w:rFonts w:ascii="宋体" w:hAnsi="宋体" w:eastAsia="宋体" w:cs="宋体"/>
                <w:color w:val="auto"/>
                <w:kern w:val="0"/>
                <w:sz w:val="24"/>
                <w:szCs w:val="24"/>
                <w:highlight w:val="none"/>
              </w:rPr>
            </w:pPr>
          </w:p>
        </w:tc>
      </w:tr>
      <w:tr w14:paraId="2F8E9B9E">
        <w:tblPrEx>
          <w:tblCellMar>
            <w:top w:w="0" w:type="dxa"/>
            <w:left w:w="108" w:type="dxa"/>
            <w:bottom w:w="0" w:type="dxa"/>
            <w:right w:w="108" w:type="dxa"/>
          </w:tblCellMar>
        </w:tblPrEx>
        <w:trPr>
          <w:trHeight w:val="614" w:hRule="atLeast"/>
        </w:trPr>
        <w:tc>
          <w:tcPr>
            <w:tcW w:w="598" w:type="pct"/>
            <w:tcBorders>
              <w:top w:val="single" w:color="000000" w:sz="4" w:space="0"/>
              <w:left w:val="single" w:color="000000" w:sz="8" w:space="0"/>
              <w:bottom w:val="single" w:color="000000" w:sz="8" w:space="0"/>
              <w:right w:val="single" w:color="000000" w:sz="4" w:space="0"/>
            </w:tcBorders>
            <w:noWrap/>
            <w:vAlign w:val="center"/>
          </w:tcPr>
          <w:p w14:paraId="07162E85">
            <w:pPr>
              <w:widowControl/>
              <w:spacing w:line="432"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185" w:type="pct"/>
            <w:tcBorders>
              <w:top w:val="single" w:color="000000" w:sz="4" w:space="0"/>
              <w:left w:val="single" w:color="000000" w:sz="4" w:space="0"/>
              <w:bottom w:val="single" w:color="000000" w:sz="8" w:space="0"/>
              <w:right w:val="single" w:color="000000" w:sz="4" w:space="0"/>
            </w:tcBorders>
            <w:noWrap/>
            <w:vAlign w:val="center"/>
          </w:tcPr>
          <w:p w14:paraId="595E05F1">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2646B52A">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75406305">
            <w:pPr>
              <w:widowControl/>
              <w:snapToGrid w:val="0"/>
              <w:spacing w:line="432" w:lineRule="auto"/>
              <w:jc w:val="center"/>
              <w:rPr>
                <w:rFonts w:ascii="宋体" w:hAnsi="宋体" w:eastAsia="宋体" w:cs="宋体"/>
                <w:color w:val="auto"/>
                <w:kern w:val="0"/>
                <w:sz w:val="24"/>
                <w:szCs w:val="24"/>
                <w:highlight w:val="none"/>
              </w:rPr>
            </w:pPr>
          </w:p>
        </w:tc>
      </w:tr>
      <w:tr w14:paraId="66BB59CA">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45A8CAA5">
            <w:pPr>
              <w:widowControl/>
              <w:spacing w:line="432"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B682A96">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2A34E317">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6382BFD7">
            <w:pPr>
              <w:widowControl/>
              <w:snapToGrid w:val="0"/>
              <w:spacing w:line="432" w:lineRule="auto"/>
              <w:jc w:val="center"/>
              <w:rPr>
                <w:rFonts w:ascii="宋体" w:hAnsi="宋体" w:eastAsia="宋体" w:cs="宋体"/>
                <w:color w:val="auto"/>
                <w:kern w:val="0"/>
                <w:sz w:val="24"/>
                <w:szCs w:val="24"/>
                <w:highlight w:val="none"/>
              </w:rPr>
            </w:pPr>
          </w:p>
        </w:tc>
      </w:tr>
      <w:tr w14:paraId="0B134332">
        <w:tblPrEx>
          <w:tblCellMar>
            <w:top w:w="0" w:type="dxa"/>
            <w:left w:w="108" w:type="dxa"/>
            <w:bottom w:w="0" w:type="dxa"/>
            <w:right w:w="108" w:type="dxa"/>
          </w:tblCellMar>
        </w:tblPrEx>
        <w:trPr>
          <w:trHeight w:val="614" w:hRule="atLeast"/>
        </w:trPr>
        <w:tc>
          <w:tcPr>
            <w:tcW w:w="598" w:type="pct"/>
            <w:tcBorders>
              <w:top w:val="single" w:color="000000" w:sz="4" w:space="0"/>
              <w:left w:val="single" w:color="000000" w:sz="8" w:space="0"/>
              <w:bottom w:val="single" w:color="000000" w:sz="8" w:space="0"/>
              <w:right w:val="single" w:color="000000" w:sz="4" w:space="0"/>
            </w:tcBorders>
            <w:noWrap/>
            <w:vAlign w:val="center"/>
          </w:tcPr>
          <w:p w14:paraId="52ADF484">
            <w:pPr>
              <w:widowControl/>
              <w:spacing w:line="432"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185" w:type="pct"/>
            <w:tcBorders>
              <w:top w:val="single" w:color="000000" w:sz="4" w:space="0"/>
              <w:left w:val="single" w:color="000000" w:sz="4" w:space="0"/>
              <w:bottom w:val="single" w:color="000000" w:sz="8" w:space="0"/>
              <w:right w:val="single" w:color="000000" w:sz="4" w:space="0"/>
            </w:tcBorders>
            <w:noWrap/>
            <w:vAlign w:val="center"/>
          </w:tcPr>
          <w:p w14:paraId="5275CD9C">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0B55DF6E">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22C2CFFD">
            <w:pPr>
              <w:widowControl/>
              <w:snapToGrid w:val="0"/>
              <w:spacing w:line="432" w:lineRule="auto"/>
              <w:jc w:val="center"/>
              <w:rPr>
                <w:rFonts w:ascii="宋体" w:hAnsi="宋体" w:eastAsia="宋体" w:cs="宋体"/>
                <w:color w:val="auto"/>
                <w:kern w:val="0"/>
                <w:sz w:val="24"/>
                <w:szCs w:val="24"/>
                <w:highlight w:val="none"/>
              </w:rPr>
            </w:pPr>
          </w:p>
        </w:tc>
      </w:tr>
      <w:tr w14:paraId="4C362EE4">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6352AE48">
            <w:pPr>
              <w:widowControl/>
              <w:spacing w:line="432"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79CEF31">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2649DA74">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23B37DCA">
            <w:pPr>
              <w:widowControl/>
              <w:snapToGrid w:val="0"/>
              <w:spacing w:line="432" w:lineRule="auto"/>
              <w:jc w:val="center"/>
              <w:rPr>
                <w:rFonts w:ascii="宋体" w:hAnsi="宋体" w:eastAsia="宋体" w:cs="宋体"/>
                <w:color w:val="auto"/>
                <w:kern w:val="0"/>
                <w:sz w:val="24"/>
                <w:szCs w:val="24"/>
                <w:highlight w:val="none"/>
              </w:rPr>
            </w:pPr>
          </w:p>
        </w:tc>
      </w:tr>
      <w:tr w14:paraId="60271E11">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4AAE6069">
            <w:pPr>
              <w:widowControl/>
              <w:spacing w:line="432" w:lineRule="auto"/>
              <w:jc w:val="center"/>
              <w:rPr>
                <w:rFonts w:hint="eastAsia" w:ascii="宋体" w:hAnsi="宋体" w:eastAsia="宋体" w:cs="宋体"/>
                <w:color w:val="auto"/>
                <w:kern w:val="0"/>
                <w:sz w:val="24"/>
                <w:szCs w:val="24"/>
                <w:highlight w:val="none"/>
                <w:lang w:eastAsia="zh-CN"/>
              </w:rPr>
            </w:pP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6D23C3D">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69DCEF2A">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7BDF621A">
            <w:pPr>
              <w:widowControl/>
              <w:snapToGrid w:val="0"/>
              <w:spacing w:line="432" w:lineRule="auto"/>
              <w:jc w:val="center"/>
              <w:rPr>
                <w:rFonts w:ascii="宋体" w:hAnsi="宋体" w:eastAsia="宋体" w:cs="宋体"/>
                <w:color w:val="auto"/>
                <w:kern w:val="0"/>
                <w:sz w:val="24"/>
                <w:szCs w:val="24"/>
                <w:highlight w:val="none"/>
              </w:rPr>
            </w:pPr>
          </w:p>
        </w:tc>
      </w:tr>
      <w:tr w14:paraId="5BF7E8E3">
        <w:tblPrEx>
          <w:tblCellMar>
            <w:top w:w="0" w:type="dxa"/>
            <w:left w:w="108" w:type="dxa"/>
            <w:bottom w:w="0" w:type="dxa"/>
            <w:right w:w="108" w:type="dxa"/>
          </w:tblCellMar>
        </w:tblPrEx>
        <w:trPr>
          <w:trHeight w:val="614" w:hRule="atLeast"/>
        </w:trPr>
        <w:tc>
          <w:tcPr>
            <w:tcW w:w="2784" w:type="pct"/>
            <w:gridSpan w:val="2"/>
            <w:tcBorders>
              <w:top w:val="single" w:color="000000" w:sz="4" w:space="0"/>
              <w:left w:val="single" w:color="000000" w:sz="8" w:space="0"/>
              <w:bottom w:val="single" w:color="000000" w:sz="8" w:space="0"/>
              <w:right w:val="single" w:color="000000" w:sz="4" w:space="0"/>
            </w:tcBorders>
            <w:noWrap/>
            <w:vAlign w:val="center"/>
          </w:tcPr>
          <w:p w14:paraId="698551E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合计</w:t>
            </w: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422DA7EF">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4D0AF689">
            <w:pPr>
              <w:widowControl/>
              <w:snapToGrid w:val="0"/>
              <w:spacing w:line="432" w:lineRule="auto"/>
              <w:jc w:val="center"/>
              <w:rPr>
                <w:rFonts w:ascii="宋体" w:hAnsi="宋体" w:eastAsia="宋体" w:cs="宋体"/>
                <w:color w:val="auto"/>
                <w:kern w:val="0"/>
                <w:sz w:val="24"/>
                <w:szCs w:val="24"/>
                <w:highlight w:val="none"/>
              </w:rPr>
            </w:pPr>
          </w:p>
        </w:tc>
      </w:tr>
    </w:tbl>
    <w:p w14:paraId="0F678AD4">
      <w:pPr>
        <w:widowControl/>
        <w:spacing w:line="432"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询比响应供应商</w:t>
      </w:r>
      <w:r>
        <w:rPr>
          <w:rFonts w:hint="eastAsia" w:ascii="宋体" w:hAnsi="宋体" w:eastAsia="宋体" w:cs="宋体"/>
          <w:color w:val="auto"/>
          <w:kern w:val="0"/>
          <w:sz w:val="24"/>
          <w:szCs w:val="24"/>
          <w:highlight w:val="none"/>
        </w:rPr>
        <w:t>（盖章）：</w:t>
      </w:r>
    </w:p>
    <w:p w14:paraId="5A6D0EF9">
      <w:pPr>
        <w:widowControl/>
        <w:spacing w:line="432"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询比响应供应商</w:t>
      </w:r>
      <w:r>
        <w:rPr>
          <w:rFonts w:hint="eastAsia" w:ascii="宋体" w:hAnsi="宋体" w:eastAsia="宋体" w:cs="宋体"/>
          <w:color w:val="auto"/>
          <w:kern w:val="0"/>
          <w:sz w:val="24"/>
          <w:szCs w:val="24"/>
          <w:highlight w:val="none"/>
        </w:rPr>
        <w:t>代表签字：</w:t>
      </w:r>
    </w:p>
    <w:p w14:paraId="0D1E711F">
      <w:pPr>
        <w:spacing w:line="432" w:lineRule="auto"/>
        <w:rPr>
          <w:rFonts w:ascii="宋体" w:hAnsi="宋体"/>
          <w:color w:val="auto"/>
          <w:highlight w:val="none"/>
        </w:rPr>
        <w:sectPr>
          <w:footerReference r:id="rId13" w:type="first"/>
          <w:footerReference r:id="rId11" w:type="default"/>
          <w:footerReference r:id="rId12" w:type="even"/>
          <w:pgSz w:w="11906" w:h="16838"/>
          <w:pgMar w:top="1712" w:right="1797" w:bottom="1559" w:left="1673" w:header="720" w:footer="1213" w:gutter="0"/>
          <w:cols w:space="720" w:num="1"/>
          <w:docGrid w:linePitch="312" w:charSpace="0"/>
        </w:sectPr>
      </w:pPr>
      <w:r>
        <w:rPr>
          <w:rFonts w:hint="eastAsia" w:ascii="宋体" w:hAnsi="宋体" w:eastAsia="宋体" w:cs="宋体"/>
          <w:color w:val="auto"/>
          <w:kern w:val="0"/>
          <w:sz w:val="24"/>
          <w:szCs w:val="24"/>
          <w:highlight w:val="none"/>
        </w:rPr>
        <w:t>日   期：</w:t>
      </w:r>
    </w:p>
    <w:p w14:paraId="3BA1D00B">
      <w:pPr>
        <w:widowControl/>
        <w:spacing w:line="36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lang w:val="en-US" w:eastAsia="zh-CN"/>
        </w:rPr>
        <w:t>4</w:t>
      </w:r>
      <w:r>
        <w:rPr>
          <w:rFonts w:hint="eastAsia" w:ascii="宋体" w:hAnsi="宋体"/>
          <w:b/>
          <w:color w:val="auto"/>
          <w:kern w:val="0"/>
          <w:sz w:val="30"/>
          <w:szCs w:val="24"/>
          <w:highlight w:val="none"/>
        </w:rPr>
        <w:t>、资格证明文件</w:t>
      </w:r>
    </w:p>
    <w:p w14:paraId="016F23BE">
      <w:pPr>
        <w:adjustRightInd w:val="0"/>
        <w:snapToGrid w:val="0"/>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详见第三部分</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须知中要求提供的资格证明文件</w:t>
      </w:r>
    </w:p>
    <w:p w14:paraId="1E8B6C88">
      <w:pPr>
        <w:widowControl/>
        <w:spacing w:line="432" w:lineRule="auto"/>
        <w:jc w:val="center"/>
        <w:rPr>
          <w:rFonts w:ascii="宋体" w:hAnsi="宋体"/>
          <w:bCs/>
          <w:color w:val="auto"/>
          <w:spacing w:val="8"/>
          <w:kern w:val="0"/>
          <w:sz w:val="24"/>
          <w:szCs w:val="24"/>
          <w:highlight w:val="none"/>
        </w:rPr>
      </w:pPr>
    </w:p>
    <w:p w14:paraId="4EC6B1EF">
      <w:pPr>
        <w:widowControl/>
        <w:spacing w:line="432" w:lineRule="auto"/>
        <w:jc w:val="center"/>
        <w:rPr>
          <w:rFonts w:ascii="宋体" w:hAnsi="宋体"/>
          <w:bCs/>
          <w:color w:val="auto"/>
          <w:spacing w:val="8"/>
          <w:kern w:val="0"/>
          <w:sz w:val="24"/>
          <w:szCs w:val="24"/>
          <w:highlight w:val="none"/>
        </w:rPr>
      </w:pPr>
    </w:p>
    <w:p w14:paraId="11DBBCFA">
      <w:pPr>
        <w:rPr>
          <w:rFonts w:ascii="宋体" w:hAnsi="宋体"/>
          <w:color w:val="auto"/>
          <w:highlight w:val="none"/>
        </w:rPr>
        <w:sectPr>
          <w:footerReference r:id="rId16" w:type="first"/>
          <w:footerReference r:id="rId14" w:type="default"/>
          <w:footerReference r:id="rId15" w:type="even"/>
          <w:pgSz w:w="11906" w:h="16838"/>
          <w:pgMar w:top="1559" w:right="1673" w:bottom="1712" w:left="1418" w:header="720" w:footer="1213" w:gutter="0"/>
          <w:cols w:space="720" w:num="1"/>
          <w:docGrid w:linePitch="312" w:charSpace="0"/>
        </w:sectPr>
      </w:pPr>
    </w:p>
    <w:p w14:paraId="7C53AAE9">
      <w:pPr>
        <w:widowControl/>
        <w:spacing w:line="48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rPr>
        <w:t>格式</w:t>
      </w:r>
      <w:r>
        <w:rPr>
          <w:rFonts w:hint="eastAsia" w:ascii="宋体" w:hAnsi="宋体"/>
          <w:b/>
          <w:color w:val="auto"/>
          <w:kern w:val="0"/>
          <w:sz w:val="30"/>
          <w:szCs w:val="24"/>
          <w:highlight w:val="none"/>
          <w:lang w:val="en-US" w:eastAsia="zh-CN"/>
        </w:rPr>
        <w:t>-</w:t>
      </w:r>
      <w:r>
        <w:rPr>
          <w:rFonts w:hint="eastAsia" w:ascii="宋体" w:hAnsi="宋体"/>
          <w:b/>
          <w:color w:val="auto"/>
          <w:kern w:val="0"/>
          <w:sz w:val="30"/>
          <w:szCs w:val="24"/>
          <w:highlight w:val="none"/>
        </w:rPr>
        <w:t>法定代表人授权书</w:t>
      </w:r>
    </w:p>
    <w:p w14:paraId="1FC6C0F7">
      <w:pPr>
        <w:widowControl/>
        <w:spacing w:line="460" w:lineRule="exact"/>
        <w:jc w:val="left"/>
        <w:rPr>
          <w:rFonts w:ascii="宋体" w:hAnsi="宋体"/>
          <w:b/>
          <w:color w:val="auto"/>
          <w:kern w:val="0"/>
          <w:sz w:val="30"/>
          <w:szCs w:val="24"/>
          <w:highlight w:val="none"/>
        </w:rPr>
      </w:pPr>
    </w:p>
    <w:p w14:paraId="2E2F17E4">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致：</w:t>
      </w:r>
      <w:r>
        <w:rPr>
          <w:rFonts w:hint="eastAsia" w:ascii="宋体" w:hAnsi="宋体"/>
          <w:iCs/>
          <w:color w:val="auto"/>
          <w:kern w:val="0"/>
          <w:sz w:val="24"/>
          <w:szCs w:val="24"/>
          <w:highlight w:val="none"/>
        </w:rPr>
        <w:t>（</w:t>
      </w:r>
      <w:r>
        <w:rPr>
          <w:rFonts w:hint="eastAsia" w:ascii="宋体" w:hAnsi="宋体"/>
          <w:iCs/>
          <w:color w:val="auto"/>
          <w:kern w:val="0"/>
          <w:sz w:val="24"/>
          <w:szCs w:val="24"/>
          <w:highlight w:val="none"/>
          <w:lang w:eastAsia="zh-CN"/>
        </w:rPr>
        <w:t>询比</w:t>
      </w:r>
      <w:r>
        <w:rPr>
          <w:rFonts w:hint="eastAsia" w:ascii="宋体" w:hAnsi="宋体"/>
          <w:iCs/>
          <w:color w:val="auto"/>
          <w:kern w:val="0"/>
          <w:sz w:val="24"/>
          <w:szCs w:val="24"/>
          <w:highlight w:val="none"/>
        </w:rPr>
        <w:t>代理机构）</w:t>
      </w:r>
    </w:p>
    <w:p w14:paraId="2AE3E017">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全称）法定代表人授权（全权代表姓名）为全权代表</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参加贵司组织的（项目名称及项目编号）项目</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活动，全权代表我方处理</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活动中的一切事宜。</w:t>
      </w:r>
    </w:p>
    <w:p w14:paraId="0F6AF377">
      <w:pPr>
        <w:widowControl/>
        <w:spacing w:line="460" w:lineRule="exact"/>
        <w:jc w:val="left"/>
        <w:rPr>
          <w:rFonts w:ascii="宋体" w:hAnsi="宋体"/>
          <w:color w:val="auto"/>
          <w:kern w:val="0"/>
          <w:sz w:val="24"/>
          <w:szCs w:val="24"/>
          <w:highlight w:val="none"/>
        </w:rPr>
      </w:pPr>
    </w:p>
    <w:p w14:paraId="17981FCC">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法定代表人签字：</w:t>
      </w:r>
    </w:p>
    <w:p w14:paraId="257028B4">
      <w:pPr>
        <w:widowControl/>
        <w:spacing w:line="460" w:lineRule="exact"/>
        <w:jc w:val="left"/>
        <w:rPr>
          <w:rFonts w:ascii="宋体" w:hAnsi="宋体"/>
          <w:color w:val="auto"/>
          <w:kern w:val="0"/>
          <w:sz w:val="24"/>
          <w:szCs w:val="24"/>
          <w:highlight w:val="none"/>
        </w:rPr>
      </w:pPr>
    </w:p>
    <w:p w14:paraId="02495ED2">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询比响应供应商</w:t>
      </w:r>
      <w:r>
        <w:rPr>
          <w:rFonts w:hint="eastAsia" w:ascii="宋体" w:hAnsi="宋体"/>
          <w:color w:val="auto"/>
          <w:kern w:val="0"/>
          <w:sz w:val="24"/>
          <w:szCs w:val="24"/>
          <w:highlight w:val="none"/>
        </w:rPr>
        <w:t>全称（公章）：</w:t>
      </w:r>
    </w:p>
    <w:p w14:paraId="68F086F4">
      <w:pPr>
        <w:widowControl/>
        <w:spacing w:line="432" w:lineRule="auto"/>
        <w:jc w:val="left"/>
        <w:rPr>
          <w:rFonts w:ascii="宋体" w:hAnsi="宋体"/>
          <w:color w:val="auto"/>
          <w:kern w:val="0"/>
          <w:sz w:val="24"/>
          <w:szCs w:val="24"/>
          <w:highlight w:val="none"/>
        </w:rPr>
      </w:pPr>
    </w:p>
    <w:p w14:paraId="69101B54">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附：</w:t>
      </w:r>
    </w:p>
    <w:p w14:paraId="659C595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全权代表姓名：</w:t>
      </w:r>
    </w:p>
    <w:p w14:paraId="40A76B3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职        务：</w:t>
      </w:r>
    </w:p>
    <w:p w14:paraId="1F6FFB6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详细通讯地址：</w:t>
      </w:r>
    </w:p>
    <w:p w14:paraId="0587898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邮 政 编 码 ：</w:t>
      </w:r>
    </w:p>
    <w:p w14:paraId="47036753">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传        真：</w:t>
      </w:r>
    </w:p>
    <w:p w14:paraId="21E4F208">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电        话：</w:t>
      </w:r>
    </w:p>
    <w:p w14:paraId="311086AE">
      <w:pPr>
        <w:widowControl/>
        <w:tabs>
          <w:tab w:val="left" w:pos="1470"/>
        </w:tabs>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电 子 信 箱 ：</w:t>
      </w:r>
    </w:p>
    <w:p w14:paraId="6D2DEC47">
      <w:pPr>
        <w:pStyle w:val="77"/>
        <w:spacing w:line="360" w:lineRule="auto"/>
        <w:rPr>
          <w:rFonts w:ascii="宋体" w:hAnsi="宋体"/>
          <w:color w:val="auto"/>
          <w:sz w:val="24"/>
          <w:szCs w:val="24"/>
          <w:highlight w:val="none"/>
        </w:rPr>
      </w:pPr>
    </w:p>
    <w:p w14:paraId="1822059B">
      <w:pPr>
        <w:pStyle w:val="77"/>
        <w:spacing w:line="360" w:lineRule="auto"/>
        <w:rPr>
          <w:rFonts w:ascii="宋体" w:hAnsi="宋体"/>
          <w:color w:val="auto"/>
          <w:sz w:val="24"/>
          <w:szCs w:val="24"/>
          <w:highlight w:val="none"/>
        </w:rPr>
      </w:pPr>
    </w:p>
    <w:p w14:paraId="3801FB10">
      <w:pPr>
        <w:pStyle w:val="77"/>
        <w:spacing w:line="360" w:lineRule="auto"/>
        <w:rPr>
          <w:rFonts w:ascii="宋体" w:hAnsi="宋体"/>
          <w:color w:val="auto"/>
          <w:sz w:val="24"/>
          <w:szCs w:val="24"/>
          <w:highlight w:val="none"/>
        </w:rPr>
      </w:pPr>
      <w:r>
        <w:rPr>
          <w:rFonts w:hint="eastAsia" w:ascii="宋体" w:hAnsi="宋体"/>
          <w:color w:val="auto"/>
          <w:sz w:val="24"/>
          <w:szCs w:val="24"/>
          <w:highlight w:val="none"/>
        </w:rPr>
        <w:t>附：全权代表身份证扫描件（正、反面）</w:t>
      </w:r>
    </w:p>
    <w:p w14:paraId="6A4EC82E">
      <w:pPr>
        <w:rPr>
          <w:color w:val="auto"/>
          <w:highlight w:val="none"/>
        </w:rPr>
        <w:sectPr>
          <w:footerReference r:id="rId19" w:type="first"/>
          <w:footerReference r:id="rId17" w:type="default"/>
          <w:footerReference r:id="rId18" w:type="even"/>
          <w:pgSz w:w="11906" w:h="16838"/>
          <w:pgMar w:top="1712" w:right="1417" w:bottom="1559" w:left="1673" w:header="720" w:footer="1213" w:gutter="0"/>
          <w:cols w:space="720" w:num="1"/>
          <w:docGrid w:linePitch="312" w:charSpace="0"/>
        </w:sectPr>
      </w:pPr>
      <w:r>
        <w:rPr>
          <w:rFonts w:hint="eastAsia" w:ascii="宋体" w:hAnsi="宋体"/>
          <w:b/>
          <w:color w:val="auto"/>
          <w:sz w:val="24"/>
          <w:szCs w:val="24"/>
          <w:highlight w:val="none"/>
        </w:rPr>
        <w:t>说明：法定代表人参加采购，</w:t>
      </w:r>
      <w:r>
        <w:rPr>
          <w:rFonts w:hint="eastAsia" w:ascii="宋体" w:hAnsi="宋体"/>
          <w:b/>
          <w:color w:val="auto"/>
          <w:sz w:val="24"/>
          <w:szCs w:val="24"/>
          <w:highlight w:val="none"/>
          <w:lang w:val="en-US" w:eastAsia="zh-CN"/>
        </w:rPr>
        <w:t>须</w:t>
      </w:r>
      <w:r>
        <w:rPr>
          <w:rFonts w:hint="eastAsia" w:ascii="宋体" w:hAnsi="宋体"/>
          <w:b/>
          <w:color w:val="auto"/>
          <w:sz w:val="24"/>
          <w:szCs w:val="24"/>
          <w:highlight w:val="none"/>
        </w:rPr>
        <w:t>提供法定代表人身份证扫描件（正、反面）</w:t>
      </w:r>
    </w:p>
    <w:p w14:paraId="14B9655E">
      <w:pPr>
        <w:widowControl/>
        <w:spacing w:line="480" w:lineRule="auto"/>
        <w:jc w:val="center"/>
        <w:rPr>
          <w:rFonts w:ascii="宋体" w:hAnsi="宋体"/>
          <w:b/>
          <w:color w:val="auto"/>
          <w:kern w:val="0"/>
          <w:sz w:val="30"/>
          <w:szCs w:val="24"/>
          <w:highlight w:val="none"/>
        </w:rPr>
      </w:pPr>
      <w:bookmarkStart w:id="50" w:name="_Toc498611434"/>
      <w:bookmarkStart w:id="51" w:name="_Toc14199"/>
      <w:r>
        <w:rPr>
          <w:rFonts w:hint="eastAsia" w:ascii="宋体" w:hAnsi="宋体"/>
          <w:b/>
          <w:color w:val="auto"/>
          <w:kern w:val="0"/>
          <w:sz w:val="30"/>
          <w:szCs w:val="24"/>
          <w:highlight w:val="none"/>
          <w:lang w:val="en-US" w:eastAsia="zh-CN"/>
        </w:rPr>
        <w:t>5</w:t>
      </w:r>
      <w:r>
        <w:rPr>
          <w:rFonts w:hint="eastAsia" w:ascii="宋体" w:hAnsi="宋体"/>
          <w:b/>
          <w:color w:val="auto"/>
          <w:kern w:val="0"/>
          <w:sz w:val="30"/>
          <w:szCs w:val="24"/>
          <w:highlight w:val="none"/>
        </w:rPr>
        <w:t>、项目需求响应/偏离表</w:t>
      </w:r>
      <w:bookmarkEnd w:id="50"/>
      <w:bookmarkEnd w:id="51"/>
    </w:p>
    <w:p w14:paraId="624804E8">
      <w:pPr>
        <w:rPr>
          <w:rFonts w:ascii="宋体" w:hAnsi="宋体"/>
          <w:color w:val="auto"/>
          <w:sz w:val="24"/>
          <w:szCs w:val="24"/>
          <w:highlight w:val="none"/>
        </w:rPr>
      </w:pPr>
    </w:p>
    <w:p w14:paraId="07442AA5">
      <w:pPr>
        <w:rPr>
          <w:rFonts w:ascii="宋体" w:hAnsi="宋体"/>
          <w:color w:val="auto"/>
          <w:sz w:val="24"/>
          <w:szCs w:val="24"/>
          <w:highlight w:val="none"/>
        </w:rPr>
      </w:pPr>
      <w:r>
        <w:rPr>
          <w:rFonts w:hint="eastAsia" w:ascii="宋体" w:hAnsi="宋体"/>
          <w:color w:val="auto"/>
          <w:sz w:val="24"/>
          <w:szCs w:val="24"/>
          <w:highlight w:val="none"/>
        </w:rPr>
        <w:t>项目编号：</w:t>
      </w:r>
    </w:p>
    <w:tbl>
      <w:tblPr>
        <w:tblStyle w:val="30"/>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16"/>
        <w:gridCol w:w="2655"/>
        <w:gridCol w:w="1395"/>
        <w:gridCol w:w="1148"/>
      </w:tblGrid>
      <w:tr w14:paraId="3A01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38" w:type="dxa"/>
            <w:vAlign w:val="center"/>
          </w:tcPr>
          <w:p w14:paraId="17545331">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2616" w:type="dxa"/>
            <w:vAlign w:val="center"/>
          </w:tcPr>
          <w:p w14:paraId="6DED86DD">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项目需求</w:t>
            </w:r>
          </w:p>
        </w:tc>
        <w:tc>
          <w:tcPr>
            <w:tcW w:w="2655" w:type="dxa"/>
            <w:vAlign w:val="center"/>
          </w:tcPr>
          <w:p w14:paraId="0227558E">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响应内容</w:t>
            </w:r>
          </w:p>
        </w:tc>
        <w:tc>
          <w:tcPr>
            <w:tcW w:w="1395" w:type="dxa"/>
            <w:vAlign w:val="center"/>
          </w:tcPr>
          <w:p w14:paraId="1223CE27">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响应/偏离</w:t>
            </w:r>
          </w:p>
        </w:tc>
        <w:tc>
          <w:tcPr>
            <w:tcW w:w="1148" w:type="dxa"/>
            <w:vAlign w:val="center"/>
          </w:tcPr>
          <w:p w14:paraId="5AFDBAFA">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说明</w:t>
            </w:r>
          </w:p>
        </w:tc>
      </w:tr>
      <w:tr w14:paraId="7D21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14:paraId="58D4C875">
            <w:pPr>
              <w:spacing w:line="432" w:lineRule="auto"/>
              <w:rPr>
                <w:rFonts w:ascii="宋体" w:hAnsi="宋体"/>
                <w:color w:val="auto"/>
                <w:sz w:val="24"/>
                <w:szCs w:val="20"/>
                <w:highlight w:val="none"/>
              </w:rPr>
            </w:pPr>
          </w:p>
        </w:tc>
        <w:tc>
          <w:tcPr>
            <w:tcW w:w="2616" w:type="dxa"/>
          </w:tcPr>
          <w:p w14:paraId="7FF65C2D">
            <w:pPr>
              <w:spacing w:line="432" w:lineRule="auto"/>
              <w:rPr>
                <w:rFonts w:ascii="宋体" w:hAnsi="宋体"/>
                <w:color w:val="auto"/>
                <w:sz w:val="24"/>
                <w:szCs w:val="20"/>
                <w:highlight w:val="none"/>
              </w:rPr>
            </w:pPr>
          </w:p>
        </w:tc>
        <w:tc>
          <w:tcPr>
            <w:tcW w:w="2655" w:type="dxa"/>
          </w:tcPr>
          <w:p w14:paraId="357D0D26">
            <w:pPr>
              <w:spacing w:line="432" w:lineRule="auto"/>
              <w:rPr>
                <w:rFonts w:ascii="宋体" w:hAnsi="宋体"/>
                <w:color w:val="auto"/>
                <w:sz w:val="24"/>
                <w:szCs w:val="20"/>
                <w:highlight w:val="none"/>
              </w:rPr>
            </w:pPr>
          </w:p>
        </w:tc>
        <w:tc>
          <w:tcPr>
            <w:tcW w:w="1395" w:type="dxa"/>
          </w:tcPr>
          <w:p w14:paraId="3E6A1F99">
            <w:pPr>
              <w:spacing w:line="432" w:lineRule="auto"/>
              <w:rPr>
                <w:rFonts w:ascii="宋体" w:hAnsi="宋体"/>
                <w:color w:val="auto"/>
                <w:sz w:val="24"/>
                <w:szCs w:val="20"/>
                <w:highlight w:val="none"/>
              </w:rPr>
            </w:pPr>
          </w:p>
        </w:tc>
        <w:tc>
          <w:tcPr>
            <w:tcW w:w="1148" w:type="dxa"/>
          </w:tcPr>
          <w:p w14:paraId="3772E932">
            <w:pPr>
              <w:spacing w:line="432" w:lineRule="auto"/>
              <w:rPr>
                <w:rFonts w:ascii="宋体" w:hAnsi="宋体"/>
                <w:color w:val="auto"/>
                <w:sz w:val="24"/>
                <w:szCs w:val="20"/>
                <w:highlight w:val="none"/>
              </w:rPr>
            </w:pPr>
          </w:p>
        </w:tc>
      </w:tr>
      <w:tr w14:paraId="2DB9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7ADC8053">
            <w:pPr>
              <w:spacing w:line="432" w:lineRule="auto"/>
              <w:rPr>
                <w:rFonts w:ascii="宋体" w:hAnsi="宋体"/>
                <w:color w:val="auto"/>
                <w:sz w:val="24"/>
                <w:szCs w:val="20"/>
                <w:highlight w:val="none"/>
              </w:rPr>
            </w:pPr>
          </w:p>
        </w:tc>
        <w:tc>
          <w:tcPr>
            <w:tcW w:w="2616" w:type="dxa"/>
          </w:tcPr>
          <w:p w14:paraId="5794E053">
            <w:pPr>
              <w:spacing w:line="432" w:lineRule="auto"/>
              <w:rPr>
                <w:rFonts w:ascii="宋体" w:hAnsi="宋体"/>
                <w:color w:val="auto"/>
                <w:sz w:val="24"/>
                <w:szCs w:val="20"/>
                <w:highlight w:val="none"/>
              </w:rPr>
            </w:pPr>
          </w:p>
        </w:tc>
        <w:tc>
          <w:tcPr>
            <w:tcW w:w="2655" w:type="dxa"/>
          </w:tcPr>
          <w:p w14:paraId="52A40AF8">
            <w:pPr>
              <w:spacing w:line="432" w:lineRule="auto"/>
              <w:rPr>
                <w:rFonts w:ascii="宋体" w:hAnsi="宋体"/>
                <w:color w:val="auto"/>
                <w:sz w:val="24"/>
                <w:szCs w:val="20"/>
                <w:highlight w:val="none"/>
              </w:rPr>
            </w:pPr>
          </w:p>
        </w:tc>
        <w:tc>
          <w:tcPr>
            <w:tcW w:w="1395" w:type="dxa"/>
          </w:tcPr>
          <w:p w14:paraId="503F1E2C">
            <w:pPr>
              <w:spacing w:line="432" w:lineRule="auto"/>
              <w:rPr>
                <w:rFonts w:ascii="宋体" w:hAnsi="宋体"/>
                <w:color w:val="auto"/>
                <w:sz w:val="24"/>
                <w:szCs w:val="20"/>
                <w:highlight w:val="none"/>
              </w:rPr>
            </w:pPr>
          </w:p>
        </w:tc>
        <w:tc>
          <w:tcPr>
            <w:tcW w:w="1148" w:type="dxa"/>
          </w:tcPr>
          <w:p w14:paraId="23468AF2">
            <w:pPr>
              <w:spacing w:line="432" w:lineRule="auto"/>
              <w:rPr>
                <w:rFonts w:ascii="宋体" w:hAnsi="宋体"/>
                <w:color w:val="auto"/>
                <w:sz w:val="24"/>
                <w:szCs w:val="20"/>
                <w:highlight w:val="none"/>
              </w:rPr>
            </w:pPr>
          </w:p>
        </w:tc>
      </w:tr>
      <w:tr w14:paraId="1334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2F8B5860">
            <w:pPr>
              <w:spacing w:line="432" w:lineRule="auto"/>
              <w:rPr>
                <w:rFonts w:ascii="宋体" w:hAnsi="宋体"/>
                <w:color w:val="auto"/>
                <w:sz w:val="24"/>
                <w:szCs w:val="20"/>
                <w:highlight w:val="none"/>
              </w:rPr>
            </w:pPr>
          </w:p>
        </w:tc>
        <w:tc>
          <w:tcPr>
            <w:tcW w:w="2616" w:type="dxa"/>
          </w:tcPr>
          <w:p w14:paraId="4988A933">
            <w:pPr>
              <w:spacing w:line="432" w:lineRule="auto"/>
              <w:rPr>
                <w:rFonts w:ascii="宋体" w:hAnsi="宋体"/>
                <w:color w:val="auto"/>
                <w:sz w:val="24"/>
                <w:szCs w:val="20"/>
                <w:highlight w:val="none"/>
              </w:rPr>
            </w:pPr>
          </w:p>
        </w:tc>
        <w:tc>
          <w:tcPr>
            <w:tcW w:w="2655" w:type="dxa"/>
          </w:tcPr>
          <w:p w14:paraId="31F10A09">
            <w:pPr>
              <w:spacing w:line="432" w:lineRule="auto"/>
              <w:rPr>
                <w:rFonts w:ascii="宋体" w:hAnsi="宋体"/>
                <w:color w:val="auto"/>
                <w:sz w:val="24"/>
                <w:szCs w:val="20"/>
                <w:highlight w:val="none"/>
              </w:rPr>
            </w:pPr>
          </w:p>
        </w:tc>
        <w:tc>
          <w:tcPr>
            <w:tcW w:w="1395" w:type="dxa"/>
          </w:tcPr>
          <w:p w14:paraId="07218B89">
            <w:pPr>
              <w:spacing w:line="432" w:lineRule="auto"/>
              <w:rPr>
                <w:rFonts w:ascii="宋体" w:hAnsi="宋体"/>
                <w:color w:val="auto"/>
                <w:sz w:val="24"/>
                <w:szCs w:val="20"/>
                <w:highlight w:val="none"/>
              </w:rPr>
            </w:pPr>
          </w:p>
        </w:tc>
        <w:tc>
          <w:tcPr>
            <w:tcW w:w="1148" w:type="dxa"/>
          </w:tcPr>
          <w:p w14:paraId="4E4987B0">
            <w:pPr>
              <w:spacing w:line="432" w:lineRule="auto"/>
              <w:rPr>
                <w:rFonts w:ascii="宋体" w:hAnsi="宋体"/>
                <w:color w:val="auto"/>
                <w:sz w:val="24"/>
                <w:szCs w:val="20"/>
                <w:highlight w:val="none"/>
              </w:rPr>
            </w:pPr>
          </w:p>
        </w:tc>
      </w:tr>
      <w:tr w14:paraId="7EB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AEC2A79">
            <w:pPr>
              <w:spacing w:line="432" w:lineRule="auto"/>
              <w:rPr>
                <w:rFonts w:ascii="宋体" w:hAnsi="宋体"/>
                <w:color w:val="auto"/>
                <w:sz w:val="24"/>
                <w:szCs w:val="20"/>
                <w:highlight w:val="none"/>
              </w:rPr>
            </w:pPr>
          </w:p>
        </w:tc>
        <w:tc>
          <w:tcPr>
            <w:tcW w:w="2616" w:type="dxa"/>
          </w:tcPr>
          <w:p w14:paraId="2BF06EFD">
            <w:pPr>
              <w:spacing w:line="432" w:lineRule="auto"/>
              <w:rPr>
                <w:rFonts w:ascii="宋体" w:hAnsi="宋体"/>
                <w:color w:val="auto"/>
                <w:sz w:val="24"/>
                <w:szCs w:val="20"/>
                <w:highlight w:val="none"/>
              </w:rPr>
            </w:pPr>
          </w:p>
        </w:tc>
        <w:tc>
          <w:tcPr>
            <w:tcW w:w="2655" w:type="dxa"/>
          </w:tcPr>
          <w:p w14:paraId="633AC0B8">
            <w:pPr>
              <w:spacing w:line="432" w:lineRule="auto"/>
              <w:rPr>
                <w:rFonts w:ascii="宋体" w:hAnsi="宋体"/>
                <w:color w:val="auto"/>
                <w:sz w:val="24"/>
                <w:szCs w:val="20"/>
                <w:highlight w:val="none"/>
              </w:rPr>
            </w:pPr>
          </w:p>
        </w:tc>
        <w:tc>
          <w:tcPr>
            <w:tcW w:w="1395" w:type="dxa"/>
          </w:tcPr>
          <w:p w14:paraId="46066074">
            <w:pPr>
              <w:spacing w:line="432" w:lineRule="auto"/>
              <w:rPr>
                <w:rFonts w:ascii="宋体" w:hAnsi="宋体"/>
                <w:color w:val="auto"/>
                <w:sz w:val="24"/>
                <w:szCs w:val="20"/>
                <w:highlight w:val="none"/>
              </w:rPr>
            </w:pPr>
          </w:p>
        </w:tc>
        <w:tc>
          <w:tcPr>
            <w:tcW w:w="1148" w:type="dxa"/>
          </w:tcPr>
          <w:p w14:paraId="3180FFF9">
            <w:pPr>
              <w:spacing w:line="432" w:lineRule="auto"/>
              <w:rPr>
                <w:rFonts w:ascii="宋体" w:hAnsi="宋体"/>
                <w:color w:val="auto"/>
                <w:sz w:val="24"/>
                <w:szCs w:val="20"/>
                <w:highlight w:val="none"/>
              </w:rPr>
            </w:pPr>
          </w:p>
        </w:tc>
      </w:tr>
      <w:tr w14:paraId="461D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14:paraId="771A6C61">
            <w:pPr>
              <w:spacing w:line="432" w:lineRule="auto"/>
              <w:rPr>
                <w:rFonts w:ascii="宋体" w:hAnsi="宋体"/>
                <w:color w:val="auto"/>
                <w:sz w:val="24"/>
                <w:szCs w:val="20"/>
                <w:highlight w:val="none"/>
              </w:rPr>
            </w:pPr>
          </w:p>
        </w:tc>
        <w:tc>
          <w:tcPr>
            <w:tcW w:w="2616" w:type="dxa"/>
          </w:tcPr>
          <w:p w14:paraId="2E3A81ED">
            <w:pPr>
              <w:spacing w:line="432" w:lineRule="auto"/>
              <w:rPr>
                <w:rFonts w:ascii="宋体" w:hAnsi="宋体"/>
                <w:color w:val="auto"/>
                <w:sz w:val="24"/>
                <w:szCs w:val="20"/>
                <w:highlight w:val="none"/>
              </w:rPr>
            </w:pPr>
          </w:p>
        </w:tc>
        <w:tc>
          <w:tcPr>
            <w:tcW w:w="2655" w:type="dxa"/>
          </w:tcPr>
          <w:p w14:paraId="31D5469F">
            <w:pPr>
              <w:spacing w:line="432" w:lineRule="auto"/>
              <w:rPr>
                <w:rFonts w:ascii="宋体" w:hAnsi="宋体"/>
                <w:color w:val="auto"/>
                <w:sz w:val="24"/>
                <w:szCs w:val="20"/>
                <w:highlight w:val="none"/>
              </w:rPr>
            </w:pPr>
          </w:p>
        </w:tc>
        <w:tc>
          <w:tcPr>
            <w:tcW w:w="1395" w:type="dxa"/>
          </w:tcPr>
          <w:p w14:paraId="3FCA8E9A">
            <w:pPr>
              <w:spacing w:line="432" w:lineRule="auto"/>
              <w:rPr>
                <w:rFonts w:ascii="宋体" w:hAnsi="宋体"/>
                <w:color w:val="auto"/>
                <w:sz w:val="24"/>
                <w:szCs w:val="20"/>
                <w:highlight w:val="none"/>
              </w:rPr>
            </w:pPr>
          </w:p>
        </w:tc>
        <w:tc>
          <w:tcPr>
            <w:tcW w:w="1148" w:type="dxa"/>
          </w:tcPr>
          <w:p w14:paraId="4B2796C3">
            <w:pPr>
              <w:spacing w:line="432" w:lineRule="auto"/>
              <w:rPr>
                <w:rFonts w:ascii="宋体" w:hAnsi="宋体"/>
                <w:color w:val="auto"/>
                <w:sz w:val="24"/>
                <w:szCs w:val="20"/>
                <w:highlight w:val="none"/>
              </w:rPr>
            </w:pPr>
          </w:p>
        </w:tc>
      </w:tr>
      <w:tr w14:paraId="41B7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10C65E7">
            <w:pPr>
              <w:spacing w:line="432" w:lineRule="auto"/>
              <w:rPr>
                <w:rFonts w:ascii="宋体" w:hAnsi="宋体"/>
                <w:color w:val="auto"/>
                <w:sz w:val="24"/>
                <w:szCs w:val="20"/>
                <w:highlight w:val="none"/>
              </w:rPr>
            </w:pPr>
          </w:p>
        </w:tc>
        <w:tc>
          <w:tcPr>
            <w:tcW w:w="2616" w:type="dxa"/>
          </w:tcPr>
          <w:p w14:paraId="250A829B">
            <w:pPr>
              <w:spacing w:line="432" w:lineRule="auto"/>
              <w:rPr>
                <w:rFonts w:ascii="宋体" w:hAnsi="宋体"/>
                <w:color w:val="auto"/>
                <w:sz w:val="24"/>
                <w:szCs w:val="20"/>
                <w:highlight w:val="none"/>
              </w:rPr>
            </w:pPr>
          </w:p>
        </w:tc>
        <w:tc>
          <w:tcPr>
            <w:tcW w:w="2655" w:type="dxa"/>
          </w:tcPr>
          <w:p w14:paraId="03C1D640">
            <w:pPr>
              <w:spacing w:line="432" w:lineRule="auto"/>
              <w:rPr>
                <w:rFonts w:ascii="宋体" w:hAnsi="宋体"/>
                <w:color w:val="auto"/>
                <w:sz w:val="24"/>
                <w:szCs w:val="20"/>
                <w:highlight w:val="none"/>
              </w:rPr>
            </w:pPr>
          </w:p>
        </w:tc>
        <w:tc>
          <w:tcPr>
            <w:tcW w:w="1395" w:type="dxa"/>
          </w:tcPr>
          <w:p w14:paraId="13A62971">
            <w:pPr>
              <w:spacing w:line="432" w:lineRule="auto"/>
              <w:rPr>
                <w:rFonts w:ascii="宋体" w:hAnsi="宋体"/>
                <w:color w:val="auto"/>
                <w:sz w:val="24"/>
                <w:szCs w:val="20"/>
                <w:highlight w:val="none"/>
              </w:rPr>
            </w:pPr>
          </w:p>
        </w:tc>
        <w:tc>
          <w:tcPr>
            <w:tcW w:w="1148" w:type="dxa"/>
          </w:tcPr>
          <w:p w14:paraId="2102EB7D">
            <w:pPr>
              <w:spacing w:line="432" w:lineRule="auto"/>
              <w:rPr>
                <w:rFonts w:ascii="宋体" w:hAnsi="宋体"/>
                <w:color w:val="auto"/>
                <w:sz w:val="24"/>
                <w:szCs w:val="20"/>
                <w:highlight w:val="none"/>
              </w:rPr>
            </w:pPr>
          </w:p>
        </w:tc>
      </w:tr>
      <w:tr w14:paraId="1B1B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3742E81">
            <w:pPr>
              <w:spacing w:line="432" w:lineRule="auto"/>
              <w:rPr>
                <w:rFonts w:ascii="宋体" w:hAnsi="宋体"/>
                <w:color w:val="auto"/>
                <w:sz w:val="24"/>
                <w:szCs w:val="20"/>
                <w:highlight w:val="none"/>
              </w:rPr>
            </w:pPr>
          </w:p>
        </w:tc>
        <w:tc>
          <w:tcPr>
            <w:tcW w:w="2616" w:type="dxa"/>
          </w:tcPr>
          <w:p w14:paraId="138BE071">
            <w:pPr>
              <w:spacing w:line="432" w:lineRule="auto"/>
              <w:rPr>
                <w:rFonts w:ascii="宋体" w:hAnsi="宋体"/>
                <w:color w:val="auto"/>
                <w:sz w:val="24"/>
                <w:szCs w:val="20"/>
                <w:highlight w:val="none"/>
              </w:rPr>
            </w:pPr>
          </w:p>
        </w:tc>
        <w:tc>
          <w:tcPr>
            <w:tcW w:w="2655" w:type="dxa"/>
          </w:tcPr>
          <w:p w14:paraId="0B1C4A52">
            <w:pPr>
              <w:spacing w:line="432" w:lineRule="auto"/>
              <w:rPr>
                <w:rFonts w:ascii="宋体" w:hAnsi="宋体"/>
                <w:color w:val="auto"/>
                <w:sz w:val="24"/>
                <w:szCs w:val="20"/>
                <w:highlight w:val="none"/>
              </w:rPr>
            </w:pPr>
          </w:p>
        </w:tc>
        <w:tc>
          <w:tcPr>
            <w:tcW w:w="1395" w:type="dxa"/>
          </w:tcPr>
          <w:p w14:paraId="6F2ED351">
            <w:pPr>
              <w:spacing w:line="432" w:lineRule="auto"/>
              <w:rPr>
                <w:rFonts w:ascii="宋体" w:hAnsi="宋体"/>
                <w:color w:val="auto"/>
                <w:sz w:val="24"/>
                <w:szCs w:val="20"/>
                <w:highlight w:val="none"/>
              </w:rPr>
            </w:pPr>
          </w:p>
        </w:tc>
        <w:tc>
          <w:tcPr>
            <w:tcW w:w="1148" w:type="dxa"/>
          </w:tcPr>
          <w:p w14:paraId="1E5EC545">
            <w:pPr>
              <w:spacing w:line="432" w:lineRule="auto"/>
              <w:rPr>
                <w:rFonts w:ascii="宋体" w:hAnsi="宋体"/>
                <w:color w:val="auto"/>
                <w:sz w:val="24"/>
                <w:szCs w:val="20"/>
                <w:highlight w:val="none"/>
              </w:rPr>
            </w:pPr>
          </w:p>
        </w:tc>
      </w:tr>
    </w:tbl>
    <w:p w14:paraId="1094F26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注：供应商应逐条响应询比文件第二部分“项目需求”中的要求，如未填写在上表中的内容，视为完全响应询比文件的要求。</w:t>
      </w:r>
    </w:p>
    <w:p w14:paraId="5CCEE6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p>
    <w:p w14:paraId="2E5F63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p>
    <w:p w14:paraId="08E372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sectPr>
          <w:footerReference r:id="rId20" w:type="default"/>
          <w:pgSz w:w="11906" w:h="16838"/>
          <w:pgMar w:top="1440" w:right="1797" w:bottom="1440" w:left="1797" w:header="851" w:footer="992" w:gutter="0"/>
          <w:cols w:space="425" w:num="1"/>
          <w:docGrid w:type="lines" w:linePitch="312" w:charSpace="0"/>
        </w:sectPr>
      </w:pPr>
      <w:r>
        <w:rPr>
          <w:rFonts w:hint="eastAsia" w:ascii="宋体" w:hAnsi="宋体" w:cs="宋体"/>
          <w:color w:val="auto"/>
          <w:sz w:val="24"/>
          <w:szCs w:val="24"/>
          <w:highlight w:val="none"/>
          <w:lang w:val="en-US" w:eastAsia="zh-CN"/>
        </w:rPr>
        <w:t>询比响应供应商</w:t>
      </w:r>
      <w:r>
        <w:rPr>
          <w:rFonts w:hint="eastAsia" w:ascii="宋体" w:hAnsi="宋体" w:eastAsia="宋体" w:cs="宋体"/>
          <w:color w:val="auto"/>
          <w:sz w:val="24"/>
          <w:szCs w:val="24"/>
          <w:highlight w:val="none"/>
          <w:lang w:val="en-US" w:eastAsia="zh-CN"/>
        </w:rPr>
        <w:t>（盖章）：</w:t>
      </w:r>
    </w:p>
    <w:p w14:paraId="36F993FC">
      <w:pPr>
        <w:widowControl/>
        <w:spacing w:line="480" w:lineRule="auto"/>
        <w:jc w:val="center"/>
        <w:rPr>
          <w:rFonts w:hint="default" w:ascii="宋体" w:hAnsi="宋体" w:eastAsia="宋体"/>
          <w:color w:val="000000" w:themeColor="text1"/>
          <w:sz w:val="40"/>
          <w:shd w:val="clear" w:color="auto" w:fill="FFFFFF"/>
          <w:lang w:val="en-US" w:eastAsia="zh-CN"/>
          <w14:textFill>
            <w14:solidFill>
              <w14:schemeClr w14:val="tx1"/>
            </w14:solidFill>
          </w14:textFill>
        </w:rPr>
      </w:pPr>
      <w:r>
        <w:rPr>
          <w:rFonts w:hint="eastAsia" w:ascii="宋体" w:hAnsi="宋体"/>
          <w:b/>
          <w:color w:val="000000" w:themeColor="text1"/>
          <w:kern w:val="0"/>
          <w:sz w:val="30"/>
          <w:szCs w:val="24"/>
          <w:lang w:val="en-US" w:eastAsia="zh-CN"/>
          <w14:textFill>
            <w14:solidFill>
              <w14:schemeClr w14:val="tx1"/>
            </w14:solidFill>
          </w14:textFill>
        </w:rPr>
        <w:t>6</w:t>
      </w:r>
      <w:r>
        <w:rPr>
          <w:rFonts w:hint="eastAsia" w:ascii="宋体" w:hAnsi="宋体"/>
          <w:b/>
          <w:color w:val="000000" w:themeColor="text1"/>
          <w:kern w:val="0"/>
          <w:sz w:val="30"/>
          <w:szCs w:val="24"/>
          <w14:textFill>
            <w14:solidFill>
              <w14:schemeClr w14:val="tx1"/>
            </w14:solidFill>
          </w14:textFill>
        </w:rPr>
        <w:t>、</w:t>
      </w:r>
      <w:r>
        <w:rPr>
          <w:rFonts w:hint="eastAsia" w:ascii="宋体" w:hAnsi="宋体"/>
          <w:b/>
          <w:color w:val="000000" w:themeColor="text1"/>
          <w:kern w:val="0"/>
          <w:sz w:val="30"/>
          <w:szCs w:val="24"/>
          <w:lang w:val="en-US" w:eastAsia="zh-CN"/>
          <w14:textFill>
            <w14:solidFill>
              <w14:schemeClr w14:val="tx1"/>
            </w14:solidFill>
          </w14:textFill>
        </w:rPr>
        <w:t>其它文件</w:t>
      </w:r>
    </w:p>
    <w:bookmarkEnd w:id="46"/>
    <w:bookmarkEnd w:id="47"/>
    <w:bookmarkEnd w:id="48"/>
    <w:bookmarkEnd w:id="49"/>
    <w:p w14:paraId="3A25DB5B">
      <w:pPr>
        <w:pStyle w:val="75"/>
        <w:rPr>
          <w:rFonts w:ascii="宋体" w:hAnsi="宋体" w:eastAsia="宋体" w:cs="宋体"/>
          <w:color w:val="000000" w:themeColor="text1"/>
          <w:sz w:val="40"/>
          <w:shd w:val="clear" w:color="auto" w:fill="FFFFFF"/>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F406">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5CE3C">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B5CE3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90D5">
    <w:pPr>
      <w:widowControl/>
      <w:jc w:val="left"/>
      <w:rPr>
        <w:rFonts w:ascii="Times New Roman" w:hAnsi="Times New Roman" w:eastAsia="等线" w:cs="Times New Roman"/>
        <w:kern w:val="0"/>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0F33">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B10CA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18</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tIdGGxQEAAKkDAAAOAAAAAAAAAAEAIAAAAB8BAABkcnMvZTJvRG9jLnht&#10;bFBLBQYAAAAABgAGAFkBAABWBQAAAAA=&#10;">
              <v:fill on="f" focussize="0,0"/>
              <v:stroke on="f" weight="0.5pt"/>
              <v:imagedata o:title=""/>
              <o:lock v:ext="edit" aspectratio="f"/>
              <v:textbox inset="0mm,0mm,0mm,0mm" style="mso-fit-shape-to-text:t;">
                <w:txbxContent>
                  <w:p w14:paraId="11B10CA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18</w:t>
                    </w:r>
                    <w:r>
                      <w:rPr>
                        <w:rFonts w:ascii="Times New Roman" w:hAnsi="Times New Roman" w:eastAsia="等线" w:cs="Times New Roman"/>
                        <w:sz w:val="18"/>
                        <w:szCs w:val="18"/>
                      </w:rPr>
                      <w:fldChar w:fldCharType="end"/>
                    </w:r>
                  </w:p>
                </w:txbxContent>
              </v:textbox>
            </v:shape>
          </w:pict>
        </mc:Fallback>
      </mc:AlternateContent>
    </w:r>
  </w:p>
  <w:p w14:paraId="5D33E351">
    <w:pPr>
      <w:snapToGrid w:val="0"/>
      <w:ind w:right="-255"/>
      <w:jc w:val="center"/>
      <w:rPr>
        <w:rFonts w:ascii="Times New Roman" w:hAnsi="Times New Roman" w:eastAsia="等线"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44AD">
    <w:pPr>
      <w:widowControl/>
      <w:jc w:val="left"/>
      <w:rPr>
        <w:rFonts w:ascii="Times New Roman" w:hAnsi="Times New Roman" w:eastAsia="等线" w:cs="Times New Roman"/>
        <w:kern w:val="0"/>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7773">
    <w:pPr>
      <w:widowControl/>
      <w:jc w:val="left"/>
      <w:rPr>
        <w:rFonts w:ascii="Times New Roman" w:hAnsi="Times New Roman" w:eastAsia="等线" w:cs="Times New Roman"/>
        <w:kern w:val="0"/>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3F45">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10FE8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19</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qSsIJxQEAAKkDAAAOAAAAAAAAAAEAIAAAAB8BAABkcnMvZTJvRG9jLnht&#10;bFBLBQYAAAAABgAGAFkBAABWBQAAAAA=&#10;">
              <v:fill on="f" focussize="0,0"/>
              <v:stroke on="f" weight="0.5pt"/>
              <v:imagedata o:title=""/>
              <o:lock v:ext="edit" aspectratio="f"/>
              <v:textbox inset="0mm,0mm,0mm,0mm" style="mso-fit-shape-to-text:t;">
                <w:txbxContent>
                  <w:p w14:paraId="7510FE8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19</w:t>
                    </w:r>
                    <w:r>
                      <w:rPr>
                        <w:rFonts w:ascii="Times New Roman" w:hAnsi="Times New Roman" w:eastAsia="等线" w:cs="Times New Roman"/>
                        <w:sz w:val="18"/>
                        <w:szCs w:val="18"/>
                      </w:rPr>
                      <w:fldChar w:fldCharType="end"/>
                    </w:r>
                  </w:p>
                </w:txbxContent>
              </v:textbox>
            </v:shape>
          </w:pict>
        </mc:Fallback>
      </mc:AlternateContent>
    </w:r>
  </w:p>
  <w:p w14:paraId="4F1061A3">
    <w:pPr>
      <w:snapToGrid w:val="0"/>
      <w:ind w:right="-255"/>
      <w:jc w:val="center"/>
      <w:rPr>
        <w:rFonts w:ascii="Times New Roman" w:hAnsi="Times New Roman" w:eastAsia="等线"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B096">
    <w:pPr>
      <w:widowControl/>
      <w:jc w:val="left"/>
      <w:rPr>
        <w:rFonts w:ascii="Times New Roman" w:hAnsi="Times New Roman" w:eastAsia="等线" w:cs="Times New Roman"/>
        <w:kern w:val="0"/>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61CA">
    <w:pPr>
      <w:widowControl/>
      <w:jc w:val="left"/>
      <w:rPr>
        <w:rFonts w:ascii="Times New Roman" w:hAnsi="Times New Roman" w:eastAsia="等线" w:cs="Times New Roman"/>
        <w:kern w:val="0"/>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CFFE">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4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65DF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27</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WQCmJxQEAAKoDAAAOAAAAAAAAAAEAIAAAAB8BAABkcnMvZTJvRG9jLnht&#10;bFBLBQYAAAAABgAGAFkBAABWBQAAAAA=&#10;">
              <v:fill on="f" focussize="0,0"/>
              <v:stroke on="f" weight="0.5pt"/>
              <v:imagedata o:title=""/>
              <o:lock v:ext="edit" aspectratio="f"/>
              <v:textbox inset="0mm,0mm,0mm,0mm" style="mso-fit-shape-to-text:t;">
                <w:txbxContent>
                  <w:p w14:paraId="40965DF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27</w:t>
                    </w:r>
                    <w:r>
                      <w:rPr>
                        <w:rFonts w:ascii="Times New Roman" w:hAnsi="Times New Roman" w:eastAsia="等线" w:cs="Times New Roman"/>
                        <w:sz w:val="18"/>
                        <w:szCs w:val="18"/>
                      </w:rPr>
                      <w:fldChar w:fldCharType="end"/>
                    </w:r>
                  </w:p>
                </w:txbxContent>
              </v:textbox>
            </v:shape>
          </w:pict>
        </mc:Fallback>
      </mc:AlternateContent>
    </w:r>
  </w:p>
  <w:p w14:paraId="0D93AF35">
    <w:pPr>
      <w:snapToGrid w:val="0"/>
      <w:ind w:right="-255"/>
      <w:jc w:val="center"/>
      <w:rPr>
        <w:rFonts w:ascii="Times New Roman" w:hAnsi="Times New Roman" w:eastAsia="等线"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9C6F">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5F54">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2628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3035" cy="262890"/>
                      </a:xfrm>
                      <a:prstGeom prst="rect">
                        <a:avLst/>
                      </a:prstGeom>
                      <a:noFill/>
                      <a:ln>
                        <a:noFill/>
                      </a:ln>
                    </wps:spPr>
                    <wps:txbx>
                      <w:txbxContent>
                        <w:p w14:paraId="2B9187D8">
                          <w:pPr>
                            <w:pStyle w:val="2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w:t>
                          </w:r>
                          <w:r>
                            <w:rPr>
                              <w:rFonts w:hint="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2.05pt;mso-position-horizontal:center;mso-position-horizontal-relative:margin;mso-wrap-style:none;z-index:251660288;mso-width-relative:page;mso-height-relative:page;" filled="f" stroked="f" coordsize="21600,21600" o:gfxdata="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ioC19EAAAADAQAADwAAAAAAAAABACAAAAAiAAAAZHJzL2Rv&#10;d25yZXYueG1sUEsBAhQAFAAAAAgAh07iQNuhrBLPAQAAmQMAAA4AAAAAAAAAAQAgAAAAIAEAAGRy&#10;cy9lMm9Eb2MueG1sUEsFBgAAAAAGAAYAWQEAAGEFAAAAAA==&#10;">
              <v:fill on="f" focussize="0,0"/>
              <v:stroke on="f"/>
              <v:imagedata o:title=""/>
              <o:lock v:ext="edit" aspectratio="f"/>
              <v:textbox inset="0mm,0mm,0mm,0mm" style="mso-fit-shape-to-text:t;">
                <w:txbxContent>
                  <w:p w14:paraId="2B9187D8">
                    <w:pPr>
                      <w:pStyle w:val="2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w:t>
                    </w:r>
                    <w:r>
                      <w:rPr>
                        <w:rFonts w:hint="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B355">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65514F">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12</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TM0L9xQEAAKkDAAAOAAAAAAAAAAEAIAAAAB8BAABkcnMvZTJvRG9jLnht&#10;bFBLBQYAAAAABgAGAFkBAABWBQAAAAA=&#10;">
              <v:fill on="f" focussize="0,0"/>
              <v:stroke on="f" weight="0.5pt"/>
              <v:imagedata o:title=""/>
              <o:lock v:ext="edit" aspectratio="f"/>
              <v:textbox inset="0mm,0mm,0mm,0mm" style="mso-fit-shape-to-text:t;">
                <w:txbxContent>
                  <w:p w14:paraId="2465514F">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12</w:t>
                    </w:r>
                    <w:r>
                      <w:rPr>
                        <w:rFonts w:ascii="Times New Roman" w:hAnsi="Times New Roman" w:eastAsia="等线" w:cs="Times New Roman"/>
                        <w:sz w:val="18"/>
                        <w:szCs w:val="18"/>
                      </w:rPr>
                      <w:fldChar w:fldCharType="end"/>
                    </w:r>
                  </w:p>
                </w:txbxContent>
              </v:textbox>
            </v:shape>
          </w:pict>
        </mc:Fallback>
      </mc:AlternateContent>
    </w:r>
  </w:p>
  <w:p w14:paraId="61CBB1C0">
    <w:pPr>
      <w:snapToGrid w:val="0"/>
      <w:rPr>
        <w:rFonts w:ascii="Times New Roman" w:hAnsi="Times New Roman" w:eastAsia="等线"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4186">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C1D7C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AGwONixQEAAKkDAAAOAAAAAAAAAAEAIAAAAB8BAABkcnMvZTJvRG9jLnht&#10;bFBLBQYAAAAABgAGAFkBAABWBQAAAAA=&#10;">
              <v:fill on="f" focussize="0,0"/>
              <v:stroke on="f" weight="0.5pt"/>
              <v:imagedata o:title=""/>
              <o:lock v:ext="edit" aspectratio="f"/>
              <v:textbox inset="0mm,0mm,0mm,0mm" style="mso-fit-shape-to-text:t;">
                <w:txbxContent>
                  <w:p w14:paraId="63C1D7C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v:textbox>
            </v:shape>
          </w:pict>
        </mc:Fallback>
      </mc:AlternateContent>
    </w:r>
  </w:p>
  <w:p w14:paraId="7E01BB32">
    <w:pPr>
      <w:snapToGrid w:val="0"/>
      <w:ind w:right="-255"/>
      <w:jc w:val="center"/>
      <w:rPr>
        <w:rFonts w:ascii="Times New Roman" w:hAnsi="Times New Roman"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45A">
    <w:pPr>
      <w:widowControl/>
      <w:jc w:val="left"/>
      <w:rPr>
        <w:rFonts w:ascii="Times New Roman" w:hAnsi="Times New Roman" w:eastAsia="等线" w:cs="Times New Roman"/>
        <w:kern w:val="0"/>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0C61">
    <w:pPr>
      <w:widowControl/>
      <w:jc w:val="left"/>
      <w:rPr>
        <w:rFonts w:ascii="Times New Roman" w:hAnsi="Times New Roman" w:eastAsia="等线" w:cs="Times New Roman"/>
        <w:kern w:val="0"/>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2F19">
    <w:pPr>
      <w:snapToGrid w:val="0"/>
      <w:jc w:val="center"/>
      <w:rPr>
        <w:rFonts w:ascii="Times New Roman" w:hAnsi="Times New Roman" w:eastAsia="等线" w:cs="Times New Roman"/>
        <w:sz w:val="18"/>
        <w:szCs w:val="18"/>
      </w:rPr>
    </w:pPr>
    <w:r>
      <w:rPr>
        <w:rFonts w:eastAsia="宋体" w:cs="宋体"/>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AFF139">
                          <w:pPr>
                            <w:snapToGrid w:val="0"/>
                            <w:jc w:val="center"/>
                            <w:rPr>
                              <w:rFonts w:eastAsia="宋体" w:cs="宋体"/>
                            </w:rP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9AymxQEAAKkDAAAOAAAAAAAAAAEAIAAAAB8BAABkcnMvZTJvRG9jLnht&#10;bFBLBQYAAAAABgAGAFkBAABWBQAAAAA=&#10;">
              <v:fill on="f" focussize="0,0"/>
              <v:stroke on="f" weight="0.5pt"/>
              <v:imagedata o:title=""/>
              <o:lock v:ext="edit" aspectratio="f"/>
              <v:textbox inset="0mm,0mm,0mm,0mm" style="mso-fit-shape-to-text:t;">
                <w:txbxContent>
                  <w:p w14:paraId="4DAFF139">
                    <w:pPr>
                      <w:snapToGrid w:val="0"/>
                      <w:jc w:val="center"/>
                      <w:rPr>
                        <w:rFonts w:eastAsia="宋体" w:cs="宋体"/>
                      </w:rP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v:textbox>
            </v:shape>
          </w:pict>
        </mc:Fallback>
      </mc:AlternateContent>
    </w:r>
  </w:p>
  <w:p w14:paraId="5401D93D">
    <w:pPr>
      <w:snapToGrid w:val="0"/>
      <w:ind w:right="-255"/>
      <w:jc w:val="center"/>
      <w:rPr>
        <w:rFonts w:ascii="Times New Roman" w:hAnsi="Times New Roman" w:eastAsia="等线"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4049">
    <w:pPr>
      <w:widowControl/>
      <w:jc w:val="left"/>
      <w:rPr>
        <w:rFonts w:ascii="Times New Roman" w:hAnsi="Times New Roman" w:eastAsia="等线" w:cs="Times New Roman"/>
        <w:kern w:val="0"/>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6F42">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3"/>
      <w:lvlText w:val="第%1部分"/>
      <w:lvlJc w:val="left"/>
      <w:pPr>
        <w:ind w:left="425" w:hanging="425"/>
      </w:pPr>
      <w:rPr>
        <w:rFonts w:hint="eastAsia"/>
      </w:rPr>
    </w:lvl>
    <w:lvl w:ilvl="1" w:tentative="0">
      <w:start w:val="1"/>
      <w:numFmt w:val="chineseCountingThousand"/>
      <w:pStyle w:val="2"/>
      <w:lvlText w:val="%2、"/>
      <w:lvlJc w:val="left"/>
      <w:pPr>
        <w:ind w:left="1135" w:hanging="567"/>
      </w:pPr>
      <w:rPr>
        <w:rFonts w:hint="eastAsia"/>
      </w:rPr>
    </w:lvl>
    <w:lvl w:ilvl="2" w:tentative="0">
      <w:start w:val="1"/>
      <w:numFmt w:val="decimal"/>
      <w:pStyle w:val="4"/>
      <w:lvlText w:val="%3"/>
      <w:lvlJc w:val="left"/>
      <w:pPr>
        <w:ind w:left="1418" w:hanging="567"/>
      </w:pPr>
      <w:rPr>
        <w:rFonts w:hint="eastAsia"/>
      </w:rPr>
    </w:lvl>
    <w:lvl w:ilvl="3" w:tentative="0">
      <w:start w:val="1"/>
      <w:numFmt w:val="decimal"/>
      <w:pStyle w:val="5"/>
      <w:lvlText w:val="%3.%4"/>
      <w:lvlJc w:val="left"/>
      <w:pPr>
        <w:ind w:left="1984" w:hanging="708"/>
      </w:pPr>
      <w:rPr>
        <w:rFonts w:hint="eastAsia"/>
      </w:rPr>
    </w:lvl>
    <w:lvl w:ilvl="4" w:tentative="0">
      <w:start w:val="1"/>
      <w:numFmt w:val="decimal"/>
      <w:pStyle w:val="6"/>
      <w:lvlText w:val="附件%5."/>
      <w:lvlJc w:val="left"/>
      <w:pPr>
        <w:ind w:left="2551" w:hanging="850"/>
      </w:pPr>
      <w:rPr>
        <w:rFonts w:hint="eastAsia"/>
      </w:rPr>
    </w:lvl>
    <w:lvl w:ilvl="5" w:tentative="0">
      <w:start w:val="1"/>
      <w:numFmt w:val="none"/>
      <w:pStyle w:val="7"/>
      <w:lvlText w:val=""/>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6"/>
    <w:multiLevelType w:val="singleLevel"/>
    <w:tmpl w:val="0000000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TY1MjM0NWM5ZjQ0OGQzZDdlNzVhNzFjNGM4OTkifQ=="/>
  </w:docVars>
  <w:rsids>
    <w:rsidRoot w:val="00121E85"/>
    <w:rsid w:val="00003136"/>
    <w:rsid w:val="000941E2"/>
    <w:rsid w:val="000E7B1F"/>
    <w:rsid w:val="00121E85"/>
    <w:rsid w:val="0012416B"/>
    <w:rsid w:val="001C1634"/>
    <w:rsid w:val="00441296"/>
    <w:rsid w:val="004D427C"/>
    <w:rsid w:val="005124D7"/>
    <w:rsid w:val="00512F87"/>
    <w:rsid w:val="00694B2B"/>
    <w:rsid w:val="00714A24"/>
    <w:rsid w:val="00823A46"/>
    <w:rsid w:val="00883F35"/>
    <w:rsid w:val="009007E8"/>
    <w:rsid w:val="009D6927"/>
    <w:rsid w:val="00A16D62"/>
    <w:rsid w:val="00A1766D"/>
    <w:rsid w:val="00BB24F4"/>
    <w:rsid w:val="00D3745D"/>
    <w:rsid w:val="00E262AB"/>
    <w:rsid w:val="00E30E24"/>
    <w:rsid w:val="019F1377"/>
    <w:rsid w:val="0204742C"/>
    <w:rsid w:val="024B5C3A"/>
    <w:rsid w:val="03992B05"/>
    <w:rsid w:val="045566C0"/>
    <w:rsid w:val="073A2E04"/>
    <w:rsid w:val="074A3B33"/>
    <w:rsid w:val="07712837"/>
    <w:rsid w:val="07CC7F94"/>
    <w:rsid w:val="08601134"/>
    <w:rsid w:val="088A69ED"/>
    <w:rsid w:val="08C301C9"/>
    <w:rsid w:val="08E07D15"/>
    <w:rsid w:val="09331211"/>
    <w:rsid w:val="0BAA5BB5"/>
    <w:rsid w:val="0C5C0364"/>
    <w:rsid w:val="0DD24882"/>
    <w:rsid w:val="0F8F6EA8"/>
    <w:rsid w:val="0FB863AE"/>
    <w:rsid w:val="10141182"/>
    <w:rsid w:val="102D51FF"/>
    <w:rsid w:val="116E041E"/>
    <w:rsid w:val="11C47AD7"/>
    <w:rsid w:val="12FA2C28"/>
    <w:rsid w:val="13EC47F1"/>
    <w:rsid w:val="14E17343"/>
    <w:rsid w:val="151B4D60"/>
    <w:rsid w:val="161E34FC"/>
    <w:rsid w:val="16842491"/>
    <w:rsid w:val="17E4224C"/>
    <w:rsid w:val="181C21FB"/>
    <w:rsid w:val="18B76B4E"/>
    <w:rsid w:val="1AD76C66"/>
    <w:rsid w:val="1B7B49AD"/>
    <w:rsid w:val="1E1C1FB5"/>
    <w:rsid w:val="1ED038BC"/>
    <w:rsid w:val="1F645556"/>
    <w:rsid w:val="1F9F2799"/>
    <w:rsid w:val="209C7CF9"/>
    <w:rsid w:val="23531B69"/>
    <w:rsid w:val="237256AF"/>
    <w:rsid w:val="239E30F8"/>
    <w:rsid w:val="241327A8"/>
    <w:rsid w:val="2414652F"/>
    <w:rsid w:val="2460234C"/>
    <w:rsid w:val="24B148C0"/>
    <w:rsid w:val="256536FE"/>
    <w:rsid w:val="25763EC8"/>
    <w:rsid w:val="25D01EF2"/>
    <w:rsid w:val="265E2CFF"/>
    <w:rsid w:val="27AB4995"/>
    <w:rsid w:val="27E70AD2"/>
    <w:rsid w:val="287B7B98"/>
    <w:rsid w:val="28CF5334"/>
    <w:rsid w:val="28FB234F"/>
    <w:rsid w:val="2920429C"/>
    <w:rsid w:val="2A0E0B36"/>
    <w:rsid w:val="2A34079D"/>
    <w:rsid w:val="2A435F0E"/>
    <w:rsid w:val="2A870159"/>
    <w:rsid w:val="2ACF5903"/>
    <w:rsid w:val="2B4F77F1"/>
    <w:rsid w:val="2BBF266A"/>
    <w:rsid w:val="2C5623B6"/>
    <w:rsid w:val="2DEC6C60"/>
    <w:rsid w:val="2E6176A3"/>
    <w:rsid w:val="2EE31FF3"/>
    <w:rsid w:val="2F354341"/>
    <w:rsid w:val="303626F5"/>
    <w:rsid w:val="308F70EA"/>
    <w:rsid w:val="30B773D2"/>
    <w:rsid w:val="32053B90"/>
    <w:rsid w:val="332C033A"/>
    <w:rsid w:val="33501C21"/>
    <w:rsid w:val="34F7086B"/>
    <w:rsid w:val="35FE405F"/>
    <w:rsid w:val="3661590F"/>
    <w:rsid w:val="36840C3D"/>
    <w:rsid w:val="389673C5"/>
    <w:rsid w:val="39D818D0"/>
    <w:rsid w:val="3A744C37"/>
    <w:rsid w:val="3AAA6566"/>
    <w:rsid w:val="3B7C7A57"/>
    <w:rsid w:val="3BAC7C11"/>
    <w:rsid w:val="3D0A75D7"/>
    <w:rsid w:val="3DB86943"/>
    <w:rsid w:val="3E4A2B6A"/>
    <w:rsid w:val="400C6ED0"/>
    <w:rsid w:val="41216845"/>
    <w:rsid w:val="42010696"/>
    <w:rsid w:val="42535E8B"/>
    <w:rsid w:val="430640AA"/>
    <w:rsid w:val="440A3262"/>
    <w:rsid w:val="445666F0"/>
    <w:rsid w:val="44937BC0"/>
    <w:rsid w:val="45077F46"/>
    <w:rsid w:val="466A4950"/>
    <w:rsid w:val="47B07711"/>
    <w:rsid w:val="484D1188"/>
    <w:rsid w:val="48531B40"/>
    <w:rsid w:val="48AD78AC"/>
    <w:rsid w:val="495B26CE"/>
    <w:rsid w:val="4A282CB6"/>
    <w:rsid w:val="4B10647C"/>
    <w:rsid w:val="4D4C3273"/>
    <w:rsid w:val="4DB9277F"/>
    <w:rsid w:val="4E1C7B0C"/>
    <w:rsid w:val="4E233D62"/>
    <w:rsid w:val="4E5F60BB"/>
    <w:rsid w:val="4E880069"/>
    <w:rsid w:val="4F0076CF"/>
    <w:rsid w:val="4F072D23"/>
    <w:rsid w:val="50237BA3"/>
    <w:rsid w:val="50500478"/>
    <w:rsid w:val="5058366F"/>
    <w:rsid w:val="50A73B5B"/>
    <w:rsid w:val="51644DBE"/>
    <w:rsid w:val="53AB6CD4"/>
    <w:rsid w:val="54C9656F"/>
    <w:rsid w:val="54DA35EB"/>
    <w:rsid w:val="5757086E"/>
    <w:rsid w:val="57C111F0"/>
    <w:rsid w:val="5A494BC1"/>
    <w:rsid w:val="5B4C066F"/>
    <w:rsid w:val="5BB22BCA"/>
    <w:rsid w:val="5D212B0E"/>
    <w:rsid w:val="5E1D7BB3"/>
    <w:rsid w:val="5FCD546F"/>
    <w:rsid w:val="6166544F"/>
    <w:rsid w:val="619F2B1F"/>
    <w:rsid w:val="61BC02FE"/>
    <w:rsid w:val="64F8164D"/>
    <w:rsid w:val="65613696"/>
    <w:rsid w:val="667E1BE7"/>
    <w:rsid w:val="673B1CC5"/>
    <w:rsid w:val="67A21D44"/>
    <w:rsid w:val="684E58C1"/>
    <w:rsid w:val="69315BE5"/>
    <w:rsid w:val="69C75644"/>
    <w:rsid w:val="6C705F6D"/>
    <w:rsid w:val="6C86722C"/>
    <w:rsid w:val="6E9543B1"/>
    <w:rsid w:val="6F5A0629"/>
    <w:rsid w:val="71A5490B"/>
    <w:rsid w:val="74D03A8E"/>
    <w:rsid w:val="74FF4332"/>
    <w:rsid w:val="75104791"/>
    <w:rsid w:val="75377F70"/>
    <w:rsid w:val="756666F8"/>
    <w:rsid w:val="75A35605"/>
    <w:rsid w:val="75DB72D6"/>
    <w:rsid w:val="77521091"/>
    <w:rsid w:val="775B335F"/>
    <w:rsid w:val="77814308"/>
    <w:rsid w:val="77CF26E1"/>
    <w:rsid w:val="79B7167F"/>
    <w:rsid w:val="7AD05B41"/>
    <w:rsid w:val="7B2B2599"/>
    <w:rsid w:val="7B413172"/>
    <w:rsid w:val="7C343DB8"/>
    <w:rsid w:val="7CBC6DF5"/>
    <w:rsid w:val="7E2E5C88"/>
    <w:rsid w:val="7E386B07"/>
    <w:rsid w:val="7E6B6EDC"/>
    <w:rsid w:val="7EDE145C"/>
    <w:rsid w:val="7F082CFC"/>
    <w:rsid w:val="7F257AB6"/>
    <w:rsid w:val="7F4A0A03"/>
    <w:rsid w:val="7FA15AE5"/>
    <w:rsid w:val="7FA86ABB"/>
    <w:rsid w:val="7FC36DBD"/>
    <w:rsid w:val="7FC70142"/>
    <w:rsid w:val="7FEFA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42"/>
    <w:qFormat/>
    <w:uiPriority w:val="0"/>
    <w:pPr>
      <w:keepNext/>
      <w:keepLines/>
      <w:numPr>
        <w:ilvl w:val="0"/>
        <w:numId w:val="1"/>
      </w:numPr>
      <w:spacing w:line="600" w:lineRule="auto"/>
      <w:jc w:val="left"/>
      <w:outlineLvl w:val="0"/>
    </w:pPr>
    <w:rPr>
      <w:rFonts w:ascii="Times New Roman" w:hAnsi="Times New Roman" w:eastAsia="仿宋" w:cs="Times New Roman"/>
      <w:b/>
      <w:bCs/>
      <w:kern w:val="44"/>
      <w:sz w:val="28"/>
      <w:szCs w:val="44"/>
    </w:rPr>
  </w:style>
  <w:style w:type="paragraph" w:styleId="2">
    <w:name w:val="heading 2"/>
    <w:basedOn w:val="1"/>
    <w:next w:val="1"/>
    <w:link w:val="39"/>
    <w:qFormat/>
    <w:uiPriority w:val="0"/>
    <w:pPr>
      <w:keepNext/>
      <w:keepLines/>
      <w:numPr>
        <w:ilvl w:val="1"/>
        <w:numId w:val="1"/>
      </w:numPr>
      <w:tabs>
        <w:tab w:val="left" w:pos="0"/>
      </w:tabs>
      <w:spacing w:before="120" w:line="360" w:lineRule="auto"/>
      <w:jc w:val="left"/>
      <w:outlineLvl w:val="1"/>
    </w:pPr>
    <w:rPr>
      <w:rFonts w:ascii="Arial" w:hAnsi="Arial" w:eastAsia="楷体" w:cs="Times New Roman"/>
      <w:b/>
      <w:bCs/>
      <w:sz w:val="28"/>
      <w:szCs w:val="32"/>
    </w:rPr>
  </w:style>
  <w:style w:type="paragraph" w:styleId="4">
    <w:name w:val="heading 3"/>
    <w:basedOn w:val="1"/>
    <w:next w:val="1"/>
    <w:link w:val="38"/>
    <w:qFormat/>
    <w:uiPriority w:val="0"/>
    <w:pPr>
      <w:keepNext/>
      <w:keepLines/>
      <w:numPr>
        <w:ilvl w:val="2"/>
        <w:numId w:val="1"/>
      </w:numPr>
      <w:spacing w:line="413" w:lineRule="auto"/>
      <w:jc w:val="left"/>
      <w:outlineLvl w:val="2"/>
    </w:pPr>
    <w:rPr>
      <w:rFonts w:ascii="Times New Roman" w:hAnsi="Times New Roman" w:eastAsia="楷体" w:cs="Times New Roman"/>
      <w:b/>
      <w:sz w:val="30"/>
      <w:szCs w:val="24"/>
    </w:rPr>
  </w:style>
  <w:style w:type="paragraph" w:styleId="5">
    <w:name w:val="heading 4"/>
    <w:basedOn w:val="1"/>
    <w:next w:val="1"/>
    <w:link w:val="58"/>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59"/>
    <w:qFormat/>
    <w:uiPriority w:val="9"/>
    <w:pPr>
      <w:keepNext/>
      <w:keepLines/>
      <w:numPr>
        <w:ilvl w:val="4"/>
        <w:numId w:val="1"/>
      </w:numPr>
      <w:spacing w:before="280" w:after="290" w:line="376" w:lineRule="auto"/>
      <w:ind w:right="100" w:rightChars="100"/>
      <w:jc w:val="left"/>
      <w:outlineLvl w:val="4"/>
    </w:pPr>
    <w:rPr>
      <w:rFonts w:eastAsia="仿宋"/>
      <w:b/>
      <w:bCs/>
      <w:sz w:val="28"/>
      <w:szCs w:val="28"/>
    </w:rPr>
  </w:style>
  <w:style w:type="paragraph" w:styleId="7">
    <w:name w:val="heading 6"/>
    <w:basedOn w:val="1"/>
    <w:next w:val="1"/>
    <w:link w:val="60"/>
    <w:qFormat/>
    <w:uiPriority w:val="9"/>
    <w:pPr>
      <w:keepNext/>
      <w:keepLines/>
      <w:numPr>
        <w:ilvl w:val="5"/>
        <w:numId w:val="1"/>
      </w:numPr>
      <w:spacing w:before="240" w:after="64" w:line="320" w:lineRule="auto"/>
      <w:outlineLvl w:val="5"/>
    </w:pPr>
    <w:rPr>
      <w:rFonts w:ascii="Cambria" w:hAnsi="Cambria"/>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E-mail Signature"/>
    <w:basedOn w:val="1"/>
    <w:next w:val="9"/>
    <w:qFormat/>
    <w:uiPriority w:val="0"/>
    <w:rPr>
      <w:rFonts w:ascii="Times New Roman"/>
      <w:sz w:val="21"/>
    </w:rPr>
  </w:style>
  <w:style w:type="paragraph" w:customStyle="1" w:styleId="9">
    <w:name w:val="xl84"/>
    <w:basedOn w:val="1"/>
    <w:next w:val="10"/>
    <w:qFormat/>
    <w:uiPriority w:val="0"/>
    <w:pPr>
      <w:widowControl/>
      <w:spacing w:before="280" w:after="280"/>
    </w:pPr>
    <w:rPr>
      <w:sz w:val="22"/>
    </w:rPr>
  </w:style>
  <w:style w:type="paragraph" w:customStyle="1" w:styleId="10">
    <w:name w:val="et15"/>
    <w:basedOn w:val="1"/>
    <w:next w:val="11"/>
    <w:qFormat/>
    <w:uiPriority w:val="0"/>
    <w:pPr>
      <w:widowControl/>
      <w:shd w:val="clear" w:color="000000" w:fill="FFFFFF"/>
      <w:spacing w:before="280" w:after="280"/>
    </w:pPr>
    <w:rPr>
      <w:color w:val="000000"/>
      <w:sz w:val="20"/>
    </w:rPr>
  </w:style>
  <w:style w:type="paragraph" w:styleId="11">
    <w:name w:val="Signature"/>
    <w:basedOn w:val="1"/>
    <w:next w:val="1"/>
    <w:qFormat/>
    <w:uiPriority w:val="0"/>
    <w:pPr>
      <w:ind w:left="100"/>
    </w:pPr>
    <w:rPr>
      <w:rFonts w:ascii="Times New Roman"/>
      <w:sz w:val="21"/>
    </w:rPr>
  </w:style>
  <w:style w:type="paragraph" w:styleId="12">
    <w:name w:val="annotation text"/>
    <w:basedOn w:val="1"/>
    <w:link w:val="55"/>
    <w:qFormat/>
    <w:uiPriority w:val="0"/>
    <w:pPr>
      <w:spacing w:line="360" w:lineRule="auto"/>
      <w:jc w:val="left"/>
    </w:pPr>
    <w:rPr>
      <w:rFonts w:ascii="Times New Roman" w:hAnsi="Times New Roman" w:eastAsia="仿宋" w:cs="Times New Roman"/>
      <w:sz w:val="28"/>
      <w:szCs w:val="24"/>
    </w:rPr>
  </w:style>
  <w:style w:type="paragraph" w:styleId="13">
    <w:name w:val="Closing"/>
    <w:basedOn w:val="1"/>
    <w:next w:val="14"/>
    <w:qFormat/>
    <w:uiPriority w:val="0"/>
    <w:pPr>
      <w:ind w:left="100"/>
    </w:pPr>
    <w:rPr>
      <w:rFonts w:ascii="Times New Roman" w:cs="Times New Roman"/>
      <w:sz w:val="21"/>
    </w:rPr>
  </w:style>
  <w:style w:type="paragraph" w:customStyle="1" w:styleId="14">
    <w:name w:val="Char Char1 Char Char Char Char Char Char Char Char Char Char Char Char Char Char Char Char Char Char"/>
    <w:basedOn w:val="1"/>
    <w:next w:val="8"/>
    <w:qFormat/>
    <w:uiPriority w:val="0"/>
    <w:pPr>
      <w:widowControl/>
      <w:spacing w:after="160" w:line="240" w:lineRule="exact"/>
    </w:pPr>
    <w:rPr>
      <w:rFonts w:ascii="宋体" w:hAnsi="宋体" w:eastAsia="Times New Roman" w:cs="宋体"/>
      <w:kern w:val="0"/>
      <w:sz w:val="20"/>
    </w:rPr>
  </w:style>
  <w:style w:type="paragraph" w:styleId="15">
    <w:name w:val="Body Text"/>
    <w:basedOn w:val="1"/>
    <w:next w:val="16"/>
    <w:qFormat/>
    <w:uiPriority w:val="0"/>
    <w:pPr>
      <w:spacing w:after="120"/>
    </w:p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Body Text Indent"/>
    <w:basedOn w:val="1"/>
    <w:link w:val="43"/>
    <w:qFormat/>
    <w:uiPriority w:val="0"/>
    <w:pPr>
      <w:spacing w:afterLines="50" w:line="360" w:lineRule="auto"/>
      <w:ind w:firstLine="480" w:firstLineChars="200"/>
      <w:jc w:val="left"/>
    </w:pPr>
    <w:rPr>
      <w:rFonts w:ascii="宋体" w:hAnsi="宋体" w:eastAsia="仿宋" w:cs="Times New Roman"/>
      <w:sz w:val="24"/>
      <w:szCs w:val="24"/>
    </w:rPr>
  </w:style>
  <w:style w:type="paragraph" w:styleId="18">
    <w:name w:val="Plain Text"/>
    <w:basedOn w:val="1"/>
    <w:link w:val="44"/>
    <w:qFormat/>
    <w:uiPriority w:val="0"/>
    <w:pPr>
      <w:spacing w:line="360" w:lineRule="auto"/>
      <w:jc w:val="left"/>
    </w:pPr>
    <w:rPr>
      <w:rFonts w:ascii="宋体" w:hAnsi="Courier New" w:eastAsia="仿宋" w:cs="Courier New"/>
      <w:sz w:val="28"/>
      <w:szCs w:val="21"/>
    </w:rPr>
  </w:style>
  <w:style w:type="paragraph" w:styleId="19">
    <w:name w:val="toc 8"/>
    <w:basedOn w:val="1"/>
    <w:next w:val="1"/>
    <w:qFormat/>
    <w:uiPriority w:val="0"/>
    <w:pPr>
      <w:ind w:left="2940" w:leftChars="1400"/>
    </w:pPr>
  </w:style>
  <w:style w:type="paragraph" w:styleId="20">
    <w:name w:val="Date"/>
    <w:basedOn w:val="1"/>
    <w:next w:val="1"/>
    <w:link w:val="45"/>
    <w:qFormat/>
    <w:uiPriority w:val="0"/>
    <w:pPr>
      <w:spacing w:line="360" w:lineRule="auto"/>
      <w:ind w:left="100" w:leftChars="2500"/>
      <w:jc w:val="left"/>
    </w:pPr>
    <w:rPr>
      <w:rFonts w:ascii="Times New Roman" w:hAnsi="Times New Roman" w:eastAsia="仿宋" w:cs="Times New Roman"/>
      <w:sz w:val="28"/>
      <w:szCs w:val="24"/>
    </w:rPr>
  </w:style>
  <w:style w:type="paragraph" w:styleId="21">
    <w:name w:val="Body Text Indent 2"/>
    <w:basedOn w:val="1"/>
    <w:link w:val="46"/>
    <w:qFormat/>
    <w:uiPriority w:val="0"/>
    <w:pPr>
      <w:spacing w:line="360" w:lineRule="auto"/>
      <w:ind w:firstLine="359" w:firstLineChars="171"/>
      <w:jc w:val="left"/>
    </w:pPr>
    <w:rPr>
      <w:rFonts w:ascii="Times New Roman" w:hAnsi="Times New Roman" w:eastAsia="仿宋" w:cs="Times New Roman"/>
      <w:sz w:val="28"/>
      <w:szCs w:val="24"/>
    </w:rPr>
  </w:style>
  <w:style w:type="paragraph" w:styleId="22">
    <w:name w:val="Balloon Text"/>
    <w:basedOn w:val="1"/>
    <w:link w:val="47"/>
    <w:qFormat/>
    <w:uiPriority w:val="0"/>
    <w:pPr>
      <w:spacing w:line="360" w:lineRule="auto"/>
      <w:jc w:val="left"/>
    </w:pPr>
    <w:rPr>
      <w:rFonts w:ascii="Times New Roman" w:hAnsi="Times New Roman" w:eastAsia="仿宋" w:cs="Times New Roman"/>
      <w:sz w:val="18"/>
      <w:szCs w:val="18"/>
    </w:rPr>
  </w:style>
  <w:style w:type="paragraph" w:styleId="23">
    <w:name w:val="footer"/>
    <w:basedOn w:val="1"/>
    <w:link w:val="41"/>
    <w:qFormat/>
    <w:uiPriority w:val="0"/>
    <w:pPr>
      <w:tabs>
        <w:tab w:val="center" w:pos="4153"/>
        <w:tab w:val="right" w:pos="8306"/>
      </w:tabs>
      <w:snapToGrid w:val="0"/>
      <w:jc w:val="left"/>
    </w:pPr>
    <w:rPr>
      <w:sz w:val="18"/>
      <w:szCs w:val="18"/>
    </w:rPr>
  </w:style>
  <w:style w:type="paragraph" w:styleId="2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line="360" w:lineRule="auto"/>
      <w:jc w:val="left"/>
    </w:pPr>
    <w:rPr>
      <w:rFonts w:ascii="Times New Roman" w:hAnsi="Times New Roman" w:eastAsia="仿宋" w:cs="Times New Roman"/>
      <w:sz w:val="28"/>
      <w:szCs w:val="24"/>
    </w:rPr>
  </w:style>
  <w:style w:type="paragraph" w:styleId="26">
    <w:name w:val="Body Text Indent 3"/>
    <w:basedOn w:val="1"/>
    <w:link w:val="48"/>
    <w:qFormat/>
    <w:uiPriority w:val="0"/>
    <w:pPr>
      <w:spacing w:after="120" w:line="360" w:lineRule="auto"/>
      <w:ind w:left="420" w:leftChars="200"/>
      <w:jc w:val="left"/>
    </w:pPr>
    <w:rPr>
      <w:rFonts w:ascii="Times New Roman" w:hAnsi="Times New Roman" w:eastAsia="仿宋" w:cs="Times New Roman"/>
      <w:sz w:val="16"/>
      <w:szCs w:val="16"/>
    </w:rPr>
  </w:style>
  <w:style w:type="paragraph" w:styleId="27">
    <w:name w:val="toc 2"/>
    <w:basedOn w:val="1"/>
    <w:next w:val="1"/>
    <w:qFormat/>
    <w:uiPriority w:val="39"/>
    <w:pPr>
      <w:spacing w:line="360" w:lineRule="auto"/>
      <w:ind w:left="420" w:leftChars="200"/>
      <w:jc w:val="left"/>
    </w:pPr>
    <w:rPr>
      <w:rFonts w:ascii="Times New Roman" w:hAnsi="Times New Roman" w:eastAsia="仿宋" w:cs="Times New Roman"/>
      <w:sz w:val="28"/>
      <w:szCs w:val="24"/>
    </w:rPr>
  </w:style>
  <w:style w:type="paragraph" w:styleId="28">
    <w:name w:val="Normal (Web)"/>
    <w:basedOn w:val="1"/>
    <w:qFormat/>
    <w:uiPriority w:val="0"/>
    <w:pPr>
      <w:widowControl/>
      <w:spacing w:before="100" w:beforeAutospacing="1" w:after="100" w:afterAutospacing="1" w:line="360" w:lineRule="auto"/>
      <w:jc w:val="left"/>
    </w:pPr>
    <w:rPr>
      <w:rFonts w:ascii="宋体" w:hAnsi="宋体" w:eastAsia="仿宋"/>
      <w:color w:val="000000"/>
      <w:kern w:val="0"/>
      <w:sz w:val="24"/>
      <w:szCs w:val="24"/>
    </w:rPr>
  </w:style>
  <w:style w:type="paragraph" w:styleId="29">
    <w:name w:val="annotation subject"/>
    <w:basedOn w:val="12"/>
    <w:next w:val="12"/>
    <w:link w:val="56"/>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Hyperlink"/>
    <w:basedOn w:val="32"/>
    <w:qFormat/>
    <w:uiPriority w:val="99"/>
    <w:rPr>
      <w:color w:val="000000"/>
      <w:u w:val="none"/>
    </w:rPr>
  </w:style>
  <w:style w:type="character" w:styleId="37">
    <w:name w:val="annotation reference"/>
    <w:basedOn w:val="32"/>
    <w:qFormat/>
    <w:uiPriority w:val="0"/>
    <w:rPr>
      <w:sz w:val="21"/>
      <w:szCs w:val="21"/>
    </w:rPr>
  </w:style>
  <w:style w:type="character" w:customStyle="1" w:styleId="38">
    <w:name w:val="标题 3 Char"/>
    <w:basedOn w:val="32"/>
    <w:link w:val="4"/>
    <w:qFormat/>
    <w:uiPriority w:val="0"/>
    <w:rPr>
      <w:rFonts w:ascii="Times New Roman" w:hAnsi="Times New Roman" w:eastAsia="楷体" w:cs="Times New Roman"/>
      <w:b/>
      <w:sz w:val="30"/>
      <w:szCs w:val="24"/>
    </w:rPr>
  </w:style>
  <w:style w:type="character" w:customStyle="1" w:styleId="39">
    <w:name w:val="标题 2 Char"/>
    <w:basedOn w:val="32"/>
    <w:link w:val="2"/>
    <w:qFormat/>
    <w:uiPriority w:val="0"/>
    <w:rPr>
      <w:rFonts w:ascii="Arial" w:hAnsi="Arial" w:eastAsia="楷体" w:cs="Times New Roman"/>
      <w:b/>
      <w:bCs/>
      <w:sz w:val="28"/>
      <w:szCs w:val="32"/>
    </w:rPr>
  </w:style>
  <w:style w:type="character" w:customStyle="1" w:styleId="40">
    <w:name w:val="页眉 Char"/>
    <w:basedOn w:val="32"/>
    <w:link w:val="24"/>
    <w:qFormat/>
    <w:uiPriority w:val="0"/>
    <w:rPr>
      <w:sz w:val="18"/>
      <w:szCs w:val="18"/>
    </w:rPr>
  </w:style>
  <w:style w:type="character" w:customStyle="1" w:styleId="41">
    <w:name w:val="页脚 Char"/>
    <w:basedOn w:val="32"/>
    <w:link w:val="23"/>
    <w:qFormat/>
    <w:uiPriority w:val="99"/>
    <w:rPr>
      <w:sz w:val="18"/>
      <w:szCs w:val="18"/>
    </w:rPr>
  </w:style>
  <w:style w:type="character" w:customStyle="1" w:styleId="42">
    <w:name w:val="标题 1 Char1"/>
    <w:basedOn w:val="32"/>
    <w:link w:val="3"/>
    <w:qFormat/>
    <w:uiPriority w:val="0"/>
    <w:rPr>
      <w:rFonts w:ascii="Times New Roman" w:hAnsi="Times New Roman" w:eastAsia="仿宋" w:cs="Times New Roman"/>
      <w:b/>
      <w:bCs/>
      <w:kern w:val="44"/>
      <w:sz w:val="28"/>
      <w:szCs w:val="44"/>
    </w:rPr>
  </w:style>
  <w:style w:type="character" w:customStyle="1" w:styleId="43">
    <w:name w:val="正文文本缩进 Char"/>
    <w:basedOn w:val="32"/>
    <w:link w:val="17"/>
    <w:qFormat/>
    <w:uiPriority w:val="0"/>
    <w:rPr>
      <w:rFonts w:ascii="宋体" w:hAnsi="宋体" w:eastAsia="仿宋" w:cs="Times New Roman"/>
      <w:sz w:val="24"/>
      <w:szCs w:val="24"/>
    </w:rPr>
  </w:style>
  <w:style w:type="character" w:customStyle="1" w:styleId="44">
    <w:name w:val="纯文本 Char"/>
    <w:basedOn w:val="32"/>
    <w:link w:val="18"/>
    <w:qFormat/>
    <w:uiPriority w:val="0"/>
    <w:rPr>
      <w:rFonts w:ascii="宋体" w:hAnsi="Courier New" w:eastAsia="仿宋" w:cs="Courier New"/>
      <w:sz w:val="28"/>
      <w:szCs w:val="21"/>
    </w:rPr>
  </w:style>
  <w:style w:type="character" w:customStyle="1" w:styleId="45">
    <w:name w:val="日期 Char"/>
    <w:basedOn w:val="32"/>
    <w:link w:val="20"/>
    <w:qFormat/>
    <w:uiPriority w:val="0"/>
    <w:rPr>
      <w:rFonts w:ascii="Times New Roman" w:hAnsi="Times New Roman" w:eastAsia="仿宋" w:cs="Times New Roman"/>
      <w:sz w:val="28"/>
      <w:szCs w:val="24"/>
    </w:rPr>
  </w:style>
  <w:style w:type="character" w:customStyle="1" w:styleId="46">
    <w:name w:val="正文文本缩进 2 Char"/>
    <w:basedOn w:val="32"/>
    <w:link w:val="21"/>
    <w:qFormat/>
    <w:uiPriority w:val="0"/>
    <w:rPr>
      <w:rFonts w:ascii="Times New Roman" w:hAnsi="Times New Roman" w:eastAsia="仿宋" w:cs="Times New Roman"/>
      <w:sz w:val="28"/>
      <w:szCs w:val="24"/>
    </w:rPr>
  </w:style>
  <w:style w:type="character" w:customStyle="1" w:styleId="47">
    <w:name w:val="批注框文本 Char"/>
    <w:basedOn w:val="32"/>
    <w:link w:val="22"/>
    <w:qFormat/>
    <w:uiPriority w:val="0"/>
    <w:rPr>
      <w:rFonts w:ascii="Times New Roman" w:hAnsi="Times New Roman" w:eastAsia="仿宋" w:cs="Times New Roman"/>
      <w:sz w:val="18"/>
      <w:szCs w:val="18"/>
    </w:rPr>
  </w:style>
  <w:style w:type="character" w:customStyle="1" w:styleId="48">
    <w:name w:val="正文文本缩进 3 Char"/>
    <w:basedOn w:val="32"/>
    <w:link w:val="26"/>
    <w:qFormat/>
    <w:uiPriority w:val="0"/>
    <w:rPr>
      <w:rFonts w:ascii="Times New Roman" w:hAnsi="Times New Roman" w:eastAsia="仿宋" w:cs="Times New Roman"/>
      <w:sz w:val="16"/>
      <w:szCs w:val="16"/>
    </w:rPr>
  </w:style>
  <w:style w:type="character" w:customStyle="1" w:styleId="49">
    <w:name w:val="标题 1 Char"/>
    <w:qFormat/>
    <w:uiPriority w:val="0"/>
    <w:rPr>
      <w:b/>
      <w:kern w:val="44"/>
      <w:sz w:val="4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列出段落1"/>
    <w:basedOn w:val="1"/>
    <w:qFormat/>
    <w:uiPriority w:val="34"/>
    <w:pPr>
      <w:spacing w:line="360" w:lineRule="auto"/>
      <w:ind w:firstLine="420" w:firstLineChars="200"/>
      <w:jc w:val="left"/>
    </w:pPr>
    <w:rPr>
      <w:rFonts w:eastAsia="仿宋" w:cs="Times New Roman"/>
      <w:sz w:val="28"/>
    </w:rPr>
  </w:style>
  <w:style w:type="paragraph" w:customStyle="1" w:styleId="53">
    <w:name w:val="_Style 32"/>
    <w:basedOn w:val="1"/>
    <w:next w:val="1"/>
    <w:qFormat/>
    <w:uiPriority w:val="0"/>
    <w:pPr>
      <w:pBdr>
        <w:bottom w:val="single" w:color="auto" w:sz="6" w:space="1"/>
      </w:pBdr>
      <w:spacing w:line="360" w:lineRule="auto"/>
      <w:jc w:val="center"/>
    </w:pPr>
    <w:rPr>
      <w:rFonts w:ascii="Arial" w:hAnsi="Times New Roman" w:cs="Times New Roman"/>
      <w:vanish/>
      <w:sz w:val="16"/>
      <w:szCs w:val="24"/>
    </w:rPr>
  </w:style>
  <w:style w:type="paragraph" w:customStyle="1" w:styleId="54">
    <w:name w:val="_Style 33"/>
    <w:basedOn w:val="1"/>
    <w:next w:val="1"/>
    <w:qFormat/>
    <w:uiPriority w:val="0"/>
    <w:pPr>
      <w:pBdr>
        <w:top w:val="single" w:color="auto" w:sz="6" w:space="1"/>
      </w:pBdr>
      <w:spacing w:line="360" w:lineRule="auto"/>
      <w:jc w:val="center"/>
    </w:pPr>
    <w:rPr>
      <w:rFonts w:ascii="Arial" w:hAnsi="Times New Roman" w:cs="Times New Roman"/>
      <w:vanish/>
      <w:sz w:val="16"/>
      <w:szCs w:val="24"/>
    </w:rPr>
  </w:style>
  <w:style w:type="character" w:customStyle="1" w:styleId="55">
    <w:name w:val="批注文字 Char"/>
    <w:basedOn w:val="32"/>
    <w:link w:val="12"/>
    <w:qFormat/>
    <w:uiPriority w:val="0"/>
    <w:rPr>
      <w:rFonts w:ascii="Times New Roman" w:hAnsi="Times New Roman" w:eastAsia="仿宋" w:cs="Times New Roman"/>
      <w:sz w:val="28"/>
      <w:szCs w:val="24"/>
    </w:rPr>
  </w:style>
  <w:style w:type="character" w:customStyle="1" w:styleId="56">
    <w:name w:val="批注主题 Char"/>
    <w:basedOn w:val="55"/>
    <w:link w:val="29"/>
    <w:qFormat/>
    <w:uiPriority w:val="0"/>
    <w:rPr>
      <w:rFonts w:ascii="Times New Roman" w:hAnsi="Times New Roman" w:eastAsia="仿宋" w:cs="Times New Roman"/>
      <w:b/>
      <w:bCs/>
      <w:sz w:val="28"/>
      <w:szCs w:val="24"/>
    </w:rPr>
  </w:style>
  <w:style w:type="paragraph" w:styleId="57">
    <w:name w:val="List Paragraph"/>
    <w:basedOn w:val="1"/>
    <w:qFormat/>
    <w:uiPriority w:val="99"/>
    <w:pPr>
      <w:spacing w:line="360" w:lineRule="auto"/>
      <w:ind w:firstLine="420" w:firstLineChars="200"/>
      <w:jc w:val="left"/>
    </w:pPr>
    <w:rPr>
      <w:rFonts w:ascii="Times New Roman" w:hAnsi="Times New Roman" w:eastAsia="仿宋" w:cs="Times New Roman"/>
      <w:sz w:val="28"/>
      <w:szCs w:val="24"/>
    </w:rPr>
  </w:style>
  <w:style w:type="character" w:customStyle="1" w:styleId="58">
    <w:name w:val="标题 4 Char"/>
    <w:basedOn w:val="32"/>
    <w:link w:val="5"/>
    <w:qFormat/>
    <w:uiPriority w:val="9"/>
    <w:rPr>
      <w:rFonts w:ascii="Cambria" w:hAnsi="Cambria" w:eastAsia="宋体" w:cs="宋体"/>
      <w:b/>
      <w:bCs/>
      <w:sz w:val="28"/>
      <w:szCs w:val="28"/>
    </w:rPr>
  </w:style>
  <w:style w:type="character" w:customStyle="1" w:styleId="59">
    <w:name w:val="标题 5 Char"/>
    <w:basedOn w:val="32"/>
    <w:link w:val="6"/>
    <w:qFormat/>
    <w:uiPriority w:val="9"/>
    <w:rPr>
      <w:rFonts w:eastAsia="仿宋"/>
      <w:b/>
      <w:bCs/>
      <w:sz w:val="28"/>
      <w:szCs w:val="28"/>
    </w:rPr>
  </w:style>
  <w:style w:type="character" w:customStyle="1" w:styleId="60">
    <w:name w:val="标题 6 Char"/>
    <w:basedOn w:val="32"/>
    <w:link w:val="7"/>
    <w:qFormat/>
    <w:uiPriority w:val="9"/>
    <w:rPr>
      <w:rFonts w:ascii="Cambria" w:hAnsi="Cambria" w:eastAsia="宋体" w:cs="宋体"/>
      <w:b/>
      <w:bCs/>
      <w:sz w:val="24"/>
      <w:szCs w:val="24"/>
    </w:rPr>
  </w:style>
  <w:style w:type="table" w:customStyle="1" w:styleId="61">
    <w:name w:val="网格表 3 - 着色 61"/>
    <w:basedOn w:val="30"/>
    <w:qFormat/>
    <w:uiPriority w:val="48"/>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62">
    <w:name w:val="网格表 6 彩色 - 着色 61"/>
    <w:basedOn w:val="30"/>
    <w:qFormat/>
    <w:uiPriority w:val="51"/>
    <w:rPr>
      <w:color w:val="E36C09"/>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63">
    <w:name w:val="网格表 6 彩色 - 着色 11"/>
    <w:basedOn w:val="30"/>
    <w:qFormat/>
    <w:uiPriority w:val="51"/>
    <w:rPr>
      <w:color w:val="3660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64">
    <w:name w:val="网格表 7 彩色 - 着色 11"/>
    <w:basedOn w:val="30"/>
    <w:qFormat/>
    <w:uiPriority w:val="52"/>
    <w:rPr>
      <w:color w:val="3660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65">
    <w:name w:val="清单表 4 - 着色 11"/>
    <w:basedOn w:val="30"/>
    <w:qFormat/>
    <w:uiPriority w:val="49"/>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66">
    <w:name w:val="网格表 1 浅色 - 着色 11"/>
    <w:basedOn w:val="30"/>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paragraph" w:customStyle="1" w:styleId="67">
    <w:name w:val="Normal_6"/>
    <w:qFormat/>
    <w:uiPriority w:val="0"/>
    <w:pPr>
      <w:widowControl w:val="0"/>
      <w:jc w:val="both"/>
    </w:pPr>
    <w:rPr>
      <w:rFonts w:ascii="宋体" w:hAnsi="宋体" w:eastAsia="宋体" w:cs="宋体"/>
      <w:lang w:val="en-US" w:eastAsia="zh-CN" w:bidi="ar-SA"/>
    </w:rPr>
  </w:style>
  <w:style w:type="paragraph" w:customStyle="1" w:styleId="68">
    <w:name w:val="正文1"/>
    <w:qFormat/>
    <w:uiPriority w:val="99"/>
    <w:pPr>
      <w:widowControl w:val="0"/>
      <w:jc w:val="both"/>
    </w:pPr>
    <w:rPr>
      <w:rFonts w:ascii="Calibri" w:hAnsi="Calibri" w:eastAsia="宋体" w:cs="Calibri"/>
      <w:kern w:val="2"/>
      <w:sz w:val="21"/>
      <w:szCs w:val="22"/>
      <w:lang w:val="en-US" w:eastAsia="zh-CN" w:bidi="ar-SA"/>
    </w:rPr>
  </w:style>
  <w:style w:type="character" w:customStyle="1" w:styleId="69">
    <w:name w:val="默认段落字体1"/>
    <w:qFormat/>
    <w:uiPriority w:val="0"/>
  </w:style>
  <w:style w:type="paragraph" w:customStyle="1" w:styleId="70">
    <w:name w:val="Normal_7"/>
    <w:qFormat/>
    <w:uiPriority w:val="0"/>
    <w:rPr>
      <w:rFonts w:ascii="Times New Roman" w:hAnsi="Times New Roman" w:eastAsia="等线" w:cs="Times New Roman"/>
      <w:sz w:val="24"/>
      <w:szCs w:val="24"/>
      <w:lang w:val="en-US" w:eastAsia="zh-CN" w:bidi="ar-SA"/>
    </w:rPr>
  </w:style>
  <w:style w:type="paragraph" w:customStyle="1" w:styleId="71">
    <w:name w:val="样式2"/>
    <w:basedOn w:val="2"/>
    <w:qFormat/>
    <w:uiPriority w:val="0"/>
    <w:pPr>
      <w:spacing w:before="240" w:after="240" w:line="480" w:lineRule="exact"/>
    </w:pPr>
    <w:rPr>
      <w:rFonts w:eastAsia="楷体_GB2312"/>
    </w:rPr>
  </w:style>
  <w:style w:type="paragraph" w:customStyle="1" w:styleId="72">
    <w:name w:val="正文_0"/>
    <w:qFormat/>
    <w:uiPriority w:val="0"/>
    <w:pPr>
      <w:spacing w:line="312" w:lineRule="auto"/>
    </w:pPr>
    <w:rPr>
      <w:rFonts w:ascii="Times New Roman" w:hAnsi="Times New Roman" w:eastAsia="微软雅黑" w:cs="Times New Roman"/>
      <w:sz w:val="21"/>
      <w:lang w:val="en-US" w:eastAsia="zh-CN" w:bidi="ar-SA"/>
    </w:rPr>
  </w:style>
  <w:style w:type="paragraph" w:customStyle="1" w:styleId="73">
    <w:name w:val="Normal_2"/>
    <w:qFormat/>
    <w:uiPriority w:val="0"/>
    <w:rPr>
      <w:rFonts w:ascii="Times New Roman" w:hAnsi="Times New Roman" w:eastAsia="等线" w:cs="Times New Roman"/>
      <w:sz w:val="24"/>
      <w:szCs w:val="24"/>
      <w:lang w:val="en-US" w:eastAsia="zh-CN" w:bidi="ar-SA"/>
    </w:rPr>
  </w:style>
  <w:style w:type="paragraph" w:customStyle="1" w:styleId="74">
    <w:name w:val="Heading 1_2"/>
    <w:next w:val="75"/>
    <w:qFormat/>
    <w:uiPriority w:val="0"/>
    <w:pPr>
      <w:keepNext/>
      <w:spacing w:before="240" w:after="60"/>
    </w:pPr>
    <w:rPr>
      <w:rFonts w:ascii="Arial" w:hAnsi="Arial" w:eastAsia="等线" w:cs="Arial"/>
      <w:b/>
      <w:bCs/>
      <w:kern w:val="2"/>
      <w:sz w:val="32"/>
      <w:szCs w:val="32"/>
      <w:lang w:val="en-US" w:eastAsia="zh-CN" w:bidi="ar-SA"/>
    </w:rPr>
  </w:style>
  <w:style w:type="paragraph" w:customStyle="1" w:styleId="75">
    <w:name w:val="Normal_3"/>
    <w:qFormat/>
    <w:uiPriority w:val="0"/>
    <w:rPr>
      <w:rFonts w:ascii="Times New Roman" w:hAnsi="Times New Roman" w:eastAsia="等线" w:cs="Times New Roman"/>
      <w:sz w:val="24"/>
      <w:szCs w:val="24"/>
      <w:lang w:val="en-US" w:eastAsia="zh-CN" w:bidi="ar-SA"/>
    </w:rPr>
  </w:style>
  <w:style w:type="character" w:customStyle="1" w:styleId="76">
    <w:name w:val="NormalCharacter"/>
    <w:qFormat/>
    <w:uiPriority w:val="0"/>
    <w:rPr>
      <w:rFonts w:ascii="Times New Roman" w:hAnsi="Times New Roman" w:eastAsia="宋体"/>
    </w:rPr>
  </w:style>
  <w:style w:type="paragraph" w:customStyle="1" w:styleId="77">
    <w:name w:val="case3"/>
    <w:basedOn w:val="1"/>
    <w:qFormat/>
    <w:uiPriority w:val="0"/>
    <w:pPr>
      <w:widowControl/>
      <w:spacing w:before="100" w:beforeAutospacing="1" w:after="100" w:afterAutospacing="1" w:line="390" w:lineRule="atLeast"/>
      <w:jc w:val="left"/>
    </w:pPr>
    <w:rPr>
      <w:color w:val="000000"/>
      <w:kern w:val="0"/>
      <w:szCs w:val="21"/>
    </w:rPr>
  </w:style>
  <w:style w:type="paragraph" w:customStyle="1" w:styleId="78">
    <w:name w:val="01正文"/>
    <w:basedOn w:val="1"/>
    <w:qFormat/>
    <w:uiPriority w:val="99"/>
    <w:pPr>
      <w:spacing w:line="400" w:lineRule="exact"/>
      <w:ind w:firstLine="480" w:firstLineChars="200"/>
    </w:pPr>
    <w:rPr>
      <w:szCs w:val="20"/>
    </w:rPr>
  </w:style>
  <w:style w:type="paragraph" w:customStyle="1" w:styleId="7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37</Pages>
  <Words>17678</Words>
  <Characters>18829</Characters>
  <Lines>70</Lines>
  <Paragraphs>19</Paragraphs>
  <TotalTime>4</TotalTime>
  <ScaleCrop>false</ScaleCrop>
  <LinksUpToDate>false</LinksUpToDate>
  <CharactersWithSpaces>19096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2022-11-29T18:21:00Z</dcterms:created>
  <dc:creator>Localadmin</dc:creator>
  <cp:lastModifiedBy>123456</cp:lastModifiedBy>
  <dcterms:modified xsi:type="dcterms:W3CDTF">2025-04-21T09:12:16Z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A513C11D75DF447A930ECE4CC153F7FC</vt:lpwstr>
  </property>
  <property fmtid="{D5CDD505-2E9C-101B-9397-08002B2CF9AE}" pid="4" name="KSOTemplateDocerSaveRecord">
    <vt:lpwstr>eyJoZGlkIjoiNDllNmZmOTMxMWU3N2JmMDkwMzY2MjkzZjkzOGQ4NWYiLCJ1c2VySWQiOiI0NDMzODM5NDAifQ==</vt:lpwstr>
  </property>
</Properties>
</file>